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14C0AE" w14:textId="77777777" w:rsidR="003E4A41" w:rsidRDefault="003E4A41">
      <w:pPr>
        <w:rPr>
          <w:rFonts w:ascii="Calibri" w:hAnsi="Calibri" w:cs="Arial"/>
          <w:bCs/>
          <w:sz w:val="24"/>
          <w:szCs w:val="24"/>
        </w:rPr>
      </w:pPr>
    </w:p>
    <w:p w14:paraId="2030D297" w14:textId="5B27F106" w:rsidR="003E4A41" w:rsidRPr="00901C48" w:rsidRDefault="00610CCE">
      <w:pPr>
        <w:rPr>
          <w:rFonts w:ascii="Garamond" w:hAnsi="Garamond" w:cs="Arial"/>
          <w:bCs/>
          <w:sz w:val="24"/>
          <w:szCs w:val="24"/>
        </w:rPr>
      </w:pPr>
      <w:r w:rsidRPr="00901C48">
        <w:rPr>
          <w:rFonts w:ascii="Garamond" w:hAnsi="Garamond" w:cs="Arial"/>
          <w:bCs/>
          <w:sz w:val="24"/>
          <w:szCs w:val="24"/>
        </w:rPr>
        <w:t>July 13</w:t>
      </w:r>
      <w:r w:rsidR="009F568A" w:rsidRPr="00901C48">
        <w:rPr>
          <w:rFonts w:ascii="Garamond" w:hAnsi="Garamond" w:cs="Arial"/>
          <w:bCs/>
          <w:sz w:val="24"/>
          <w:szCs w:val="24"/>
        </w:rPr>
        <w:t>, 2016</w:t>
      </w:r>
    </w:p>
    <w:p w14:paraId="0C0BBC9B" w14:textId="77777777" w:rsidR="003E4A41" w:rsidRPr="00901C48" w:rsidRDefault="003E4A41">
      <w:pPr>
        <w:rPr>
          <w:rFonts w:ascii="Garamond" w:hAnsi="Garamond" w:cs="Arial"/>
          <w:bCs/>
          <w:sz w:val="24"/>
          <w:szCs w:val="24"/>
        </w:rPr>
      </w:pPr>
    </w:p>
    <w:p w14:paraId="394F404E" w14:textId="77777777" w:rsidR="003E4A41" w:rsidRPr="00901C48" w:rsidRDefault="00E42692">
      <w:pPr>
        <w:rPr>
          <w:rFonts w:ascii="Garamond" w:hAnsi="Garamond" w:cs="Arial"/>
          <w:bCs/>
          <w:i/>
          <w:sz w:val="24"/>
          <w:szCs w:val="24"/>
          <w:u w:val="single"/>
        </w:rPr>
      </w:pPr>
      <w:r w:rsidRPr="00901C48">
        <w:rPr>
          <w:rFonts w:ascii="Garamond" w:hAnsi="Garamond" w:cs="Arial"/>
          <w:bCs/>
          <w:i/>
          <w:sz w:val="24"/>
          <w:szCs w:val="24"/>
          <w:u w:val="single"/>
        </w:rPr>
        <w:t>Via Electronic Submission</w:t>
      </w:r>
    </w:p>
    <w:p w14:paraId="3062BA71" w14:textId="77777777" w:rsidR="003E4A41" w:rsidRPr="00901C48" w:rsidRDefault="003E4A41">
      <w:pPr>
        <w:rPr>
          <w:rFonts w:ascii="Garamond" w:hAnsi="Garamond" w:cs="Arial"/>
          <w:bCs/>
          <w:i/>
          <w:sz w:val="24"/>
          <w:szCs w:val="24"/>
          <w:u w:val="single"/>
        </w:rPr>
      </w:pPr>
    </w:p>
    <w:p w14:paraId="56974D2D" w14:textId="77777777" w:rsidR="003E4A41" w:rsidRPr="00901C48" w:rsidRDefault="00E42692">
      <w:pPr>
        <w:rPr>
          <w:rFonts w:ascii="Garamond" w:hAnsi="Garamond"/>
          <w:sz w:val="24"/>
          <w:szCs w:val="24"/>
        </w:rPr>
      </w:pPr>
      <w:r w:rsidRPr="00901C48">
        <w:rPr>
          <w:rFonts w:ascii="Garamond" w:hAnsi="Garamond"/>
          <w:sz w:val="24"/>
          <w:szCs w:val="24"/>
        </w:rPr>
        <w:t>Chris Kirkpatrick</w:t>
      </w:r>
    </w:p>
    <w:p w14:paraId="0578A62C" w14:textId="77777777" w:rsidR="003E4A41" w:rsidRPr="00901C48" w:rsidRDefault="00E42692">
      <w:pPr>
        <w:rPr>
          <w:rFonts w:ascii="Garamond" w:hAnsi="Garamond"/>
          <w:sz w:val="24"/>
          <w:szCs w:val="24"/>
        </w:rPr>
      </w:pPr>
      <w:r w:rsidRPr="00901C48">
        <w:rPr>
          <w:rFonts w:ascii="Garamond" w:hAnsi="Garamond"/>
          <w:sz w:val="24"/>
          <w:szCs w:val="24"/>
        </w:rPr>
        <w:t>Secretary</w:t>
      </w:r>
    </w:p>
    <w:p w14:paraId="008B8BE7" w14:textId="7F742F34" w:rsidR="003E4A41" w:rsidRPr="00901C48" w:rsidRDefault="00192D97">
      <w:pPr>
        <w:rPr>
          <w:rFonts w:ascii="Garamond" w:hAnsi="Garamond"/>
          <w:sz w:val="24"/>
          <w:szCs w:val="24"/>
        </w:rPr>
      </w:pPr>
      <w:r>
        <w:rPr>
          <w:rFonts w:ascii="Garamond" w:hAnsi="Garamond"/>
          <w:sz w:val="24"/>
          <w:szCs w:val="24"/>
        </w:rPr>
        <w:t xml:space="preserve">U.S. </w:t>
      </w:r>
      <w:r w:rsidR="00E42692" w:rsidRPr="00901C48">
        <w:rPr>
          <w:rFonts w:ascii="Garamond" w:hAnsi="Garamond"/>
          <w:sz w:val="24"/>
          <w:szCs w:val="24"/>
        </w:rPr>
        <w:t>Commodity Futures Trading Commission</w:t>
      </w:r>
    </w:p>
    <w:p w14:paraId="0482CCF3" w14:textId="77777777" w:rsidR="003E4A41" w:rsidRPr="00901C48" w:rsidRDefault="00E42692">
      <w:pPr>
        <w:rPr>
          <w:rFonts w:ascii="Garamond" w:hAnsi="Garamond"/>
          <w:sz w:val="24"/>
          <w:szCs w:val="24"/>
        </w:rPr>
      </w:pPr>
      <w:r w:rsidRPr="00901C48">
        <w:rPr>
          <w:rFonts w:ascii="Garamond" w:hAnsi="Garamond"/>
          <w:sz w:val="24"/>
          <w:szCs w:val="24"/>
        </w:rPr>
        <w:t>Three Lafayette Centre</w:t>
      </w:r>
    </w:p>
    <w:p w14:paraId="28FD4A51" w14:textId="77777777" w:rsidR="003E4A41" w:rsidRPr="00901C48" w:rsidRDefault="00E42692">
      <w:pPr>
        <w:rPr>
          <w:rFonts w:ascii="Garamond" w:hAnsi="Garamond"/>
          <w:sz w:val="24"/>
          <w:szCs w:val="24"/>
        </w:rPr>
      </w:pPr>
      <w:r w:rsidRPr="00901C48">
        <w:rPr>
          <w:rFonts w:ascii="Garamond" w:hAnsi="Garamond"/>
          <w:sz w:val="24"/>
          <w:szCs w:val="24"/>
        </w:rPr>
        <w:t>1155 21</w:t>
      </w:r>
      <w:r w:rsidRPr="00901C48">
        <w:rPr>
          <w:rFonts w:ascii="Garamond" w:hAnsi="Garamond"/>
          <w:sz w:val="24"/>
          <w:szCs w:val="24"/>
          <w:vertAlign w:val="superscript"/>
        </w:rPr>
        <w:t>st</w:t>
      </w:r>
      <w:r w:rsidRPr="00901C48">
        <w:rPr>
          <w:rFonts w:ascii="Garamond" w:hAnsi="Garamond"/>
          <w:sz w:val="24"/>
          <w:szCs w:val="24"/>
        </w:rPr>
        <w:t xml:space="preserve"> Street, N.W.</w:t>
      </w:r>
    </w:p>
    <w:p w14:paraId="1818C1B4" w14:textId="086AACCF" w:rsidR="003E4A41" w:rsidRPr="00901C48" w:rsidRDefault="00E42692">
      <w:pPr>
        <w:rPr>
          <w:rFonts w:ascii="Garamond" w:hAnsi="Garamond"/>
          <w:sz w:val="24"/>
          <w:szCs w:val="24"/>
        </w:rPr>
      </w:pPr>
      <w:r w:rsidRPr="00901C48">
        <w:rPr>
          <w:rFonts w:ascii="Garamond" w:hAnsi="Garamond"/>
          <w:sz w:val="24"/>
          <w:szCs w:val="24"/>
        </w:rPr>
        <w:t>Washington, D</w:t>
      </w:r>
      <w:r w:rsidR="00192D97">
        <w:rPr>
          <w:rFonts w:ascii="Garamond" w:hAnsi="Garamond"/>
          <w:sz w:val="24"/>
          <w:szCs w:val="24"/>
        </w:rPr>
        <w:t>.</w:t>
      </w:r>
      <w:r w:rsidRPr="00901C48">
        <w:rPr>
          <w:rFonts w:ascii="Garamond" w:hAnsi="Garamond"/>
          <w:sz w:val="24"/>
          <w:szCs w:val="24"/>
        </w:rPr>
        <w:t>C</w:t>
      </w:r>
      <w:r w:rsidR="00192D97">
        <w:rPr>
          <w:rFonts w:ascii="Garamond" w:hAnsi="Garamond"/>
          <w:sz w:val="24"/>
          <w:szCs w:val="24"/>
        </w:rPr>
        <w:t>.</w:t>
      </w:r>
      <w:r w:rsidRPr="00901C48">
        <w:rPr>
          <w:rFonts w:ascii="Garamond" w:hAnsi="Garamond"/>
          <w:sz w:val="24"/>
          <w:szCs w:val="24"/>
        </w:rPr>
        <w:t xml:space="preserve"> 20581</w:t>
      </w:r>
    </w:p>
    <w:p w14:paraId="08CBDA64" w14:textId="77777777" w:rsidR="003E4A41" w:rsidRPr="00901C48" w:rsidRDefault="003E4A41">
      <w:pPr>
        <w:rPr>
          <w:rFonts w:ascii="Garamond" w:hAnsi="Garamond"/>
          <w:sz w:val="24"/>
          <w:szCs w:val="24"/>
        </w:rPr>
      </w:pPr>
    </w:p>
    <w:p w14:paraId="0F85EECF" w14:textId="63C35797" w:rsidR="003E4A41" w:rsidRPr="00901C48" w:rsidRDefault="00E42692">
      <w:pPr>
        <w:ind w:left="720" w:hanging="720"/>
        <w:rPr>
          <w:rFonts w:ascii="Garamond" w:hAnsi="Garamond"/>
          <w:b/>
          <w:sz w:val="24"/>
          <w:szCs w:val="24"/>
        </w:rPr>
      </w:pPr>
      <w:r w:rsidRPr="00901C48">
        <w:rPr>
          <w:rFonts w:ascii="Garamond" w:hAnsi="Garamond"/>
          <w:sz w:val="24"/>
          <w:szCs w:val="24"/>
        </w:rPr>
        <w:t xml:space="preserve">Re:  </w:t>
      </w:r>
      <w:r w:rsidRPr="00901C48">
        <w:rPr>
          <w:rFonts w:ascii="Garamond" w:hAnsi="Garamond"/>
          <w:sz w:val="24"/>
          <w:szCs w:val="24"/>
        </w:rPr>
        <w:tab/>
      </w:r>
      <w:r w:rsidR="000B0E24" w:rsidRPr="00901C48">
        <w:rPr>
          <w:rFonts w:ascii="Garamond" w:hAnsi="Garamond"/>
          <w:b/>
          <w:sz w:val="24"/>
          <w:szCs w:val="24"/>
        </w:rPr>
        <w:t>Supplemental Notice of Proposed Rulemaking: Position Limits for Derivatives: Certain Exemptions and Guidance</w:t>
      </w:r>
      <w:r w:rsidRPr="00901C48">
        <w:rPr>
          <w:rFonts w:ascii="Garamond" w:hAnsi="Garamond"/>
          <w:b/>
          <w:sz w:val="24"/>
          <w:szCs w:val="24"/>
        </w:rPr>
        <w:t xml:space="preserve"> (RIN </w:t>
      </w:r>
      <w:r w:rsidR="00E43983" w:rsidRPr="00901C48">
        <w:rPr>
          <w:rFonts w:ascii="Garamond" w:hAnsi="Garamond"/>
          <w:b/>
          <w:sz w:val="24"/>
          <w:szCs w:val="24"/>
        </w:rPr>
        <w:t>3038-AD99)</w:t>
      </w:r>
    </w:p>
    <w:p w14:paraId="20272712" w14:textId="77777777" w:rsidR="003E4A41" w:rsidRPr="00901C48" w:rsidRDefault="003E4A41">
      <w:pPr>
        <w:rPr>
          <w:rFonts w:ascii="Garamond" w:hAnsi="Garamond"/>
          <w:sz w:val="24"/>
          <w:szCs w:val="24"/>
        </w:rPr>
      </w:pPr>
    </w:p>
    <w:p w14:paraId="1912B1A6" w14:textId="77777777" w:rsidR="003E4A41" w:rsidRPr="00901C48" w:rsidRDefault="00E42692">
      <w:pPr>
        <w:rPr>
          <w:rFonts w:ascii="Garamond" w:hAnsi="Garamond"/>
          <w:sz w:val="24"/>
          <w:szCs w:val="24"/>
        </w:rPr>
      </w:pPr>
      <w:r w:rsidRPr="00901C48">
        <w:rPr>
          <w:rFonts w:ascii="Garamond" w:hAnsi="Garamond"/>
          <w:sz w:val="24"/>
          <w:szCs w:val="24"/>
        </w:rPr>
        <w:t>Dear Mr. Kirkpatrick:</w:t>
      </w:r>
    </w:p>
    <w:p w14:paraId="7D35EFCD" w14:textId="77777777" w:rsidR="003E4A41" w:rsidRPr="00901C48" w:rsidRDefault="003E4A41">
      <w:pPr>
        <w:rPr>
          <w:rFonts w:ascii="Garamond" w:hAnsi="Garamond"/>
          <w:b/>
          <w:sz w:val="24"/>
          <w:szCs w:val="24"/>
        </w:rPr>
      </w:pPr>
    </w:p>
    <w:p w14:paraId="193D8067" w14:textId="5C992DDE" w:rsidR="003E4A41" w:rsidRPr="00901C48" w:rsidRDefault="00E42692" w:rsidP="00B5673F">
      <w:pPr>
        <w:ind w:firstLine="720"/>
        <w:jc w:val="both"/>
        <w:rPr>
          <w:rFonts w:ascii="Garamond" w:hAnsi="Garamond"/>
          <w:sz w:val="24"/>
          <w:szCs w:val="24"/>
        </w:rPr>
      </w:pPr>
      <w:r w:rsidRPr="00901C48">
        <w:rPr>
          <w:rFonts w:ascii="Garamond" w:hAnsi="Garamond"/>
          <w:sz w:val="24"/>
          <w:szCs w:val="24"/>
        </w:rPr>
        <w:t xml:space="preserve">The Commodity Markets Council (“CMC”) appreciates the opportunity to submit the following comments to the </w:t>
      </w:r>
      <w:r w:rsidR="00732410" w:rsidRPr="00901C48">
        <w:rPr>
          <w:rFonts w:ascii="Garamond" w:hAnsi="Garamond"/>
          <w:sz w:val="24"/>
          <w:szCs w:val="24"/>
        </w:rPr>
        <w:t xml:space="preserve">U.S. </w:t>
      </w:r>
      <w:r w:rsidRPr="00901C48">
        <w:rPr>
          <w:rFonts w:ascii="Garamond" w:hAnsi="Garamond"/>
          <w:sz w:val="24"/>
          <w:szCs w:val="24"/>
        </w:rPr>
        <w:t>Commodity Futures Trading Commission (the “CFTC” or “Commission”) as part of its comme</w:t>
      </w:r>
      <w:r w:rsidR="00732410" w:rsidRPr="00901C48">
        <w:rPr>
          <w:rFonts w:ascii="Garamond" w:hAnsi="Garamond"/>
          <w:sz w:val="24"/>
          <w:szCs w:val="24"/>
        </w:rPr>
        <w:t xml:space="preserve">nt period for its proposed revisions and guidance </w:t>
      </w:r>
      <w:r w:rsidR="002502C0">
        <w:rPr>
          <w:rFonts w:ascii="Garamond" w:hAnsi="Garamond"/>
          <w:sz w:val="24"/>
          <w:szCs w:val="24"/>
        </w:rPr>
        <w:t xml:space="preserve">to the </w:t>
      </w:r>
      <w:r w:rsidR="00732410" w:rsidRPr="00901C48">
        <w:rPr>
          <w:rFonts w:ascii="Garamond" w:hAnsi="Garamond"/>
          <w:sz w:val="24"/>
          <w:szCs w:val="24"/>
        </w:rPr>
        <w:t>2013</w:t>
      </w:r>
      <w:r w:rsidR="00042459">
        <w:rPr>
          <w:rFonts w:ascii="Garamond" w:hAnsi="Garamond"/>
          <w:sz w:val="24"/>
          <w:szCs w:val="24"/>
        </w:rPr>
        <w:t xml:space="preserve"> Proposed R</w:t>
      </w:r>
      <w:r w:rsidR="002502C0">
        <w:rPr>
          <w:rFonts w:ascii="Garamond" w:hAnsi="Garamond"/>
          <w:sz w:val="24"/>
          <w:szCs w:val="24"/>
        </w:rPr>
        <w:t>ule</w:t>
      </w:r>
      <w:r w:rsidR="00732410" w:rsidRPr="00901C48">
        <w:rPr>
          <w:rFonts w:ascii="Garamond" w:hAnsi="Garamond"/>
          <w:sz w:val="24"/>
          <w:szCs w:val="24"/>
        </w:rPr>
        <w:t xml:space="preserve"> concerning federal speculative position limits</w:t>
      </w:r>
      <w:r w:rsidRPr="00901C48">
        <w:rPr>
          <w:rFonts w:ascii="Garamond" w:hAnsi="Garamond"/>
          <w:sz w:val="24"/>
          <w:szCs w:val="24"/>
        </w:rPr>
        <w:t>.</w:t>
      </w:r>
      <w:r w:rsidRPr="00901C48">
        <w:rPr>
          <w:rFonts w:ascii="Garamond" w:hAnsi="Garamond"/>
          <w:sz w:val="24"/>
          <w:szCs w:val="24"/>
          <w:vertAlign w:val="superscript"/>
        </w:rPr>
        <w:footnoteReference w:id="1"/>
      </w:r>
      <w:r w:rsidRPr="00901C48">
        <w:rPr>
          <w:rFonts w:ascii="Garamond" w:hAnsi="Garamond"/>
          <w:sz w:val="24"/>
          <w:szCs w:val="24"/>
          <w:vertAlign w:val="superscript"/>
        </w:rPr>
        <w:t xml:space="preserve">  </w:t>
      </w:r>
    </w:p>
    <w:p w14:paraId="6773A118" w14:textId="77777777" w:rsidR="003E4A41" w:rsidRPr="00901C48" w:rsidRDefault="003E4A41">
      <w:pPr>
        <w:rPr>
          <w:rFonts w:ascii="Garamond" w:hAnsi="Garamond"/>
          <w:sz w:val="24"/>
          <w:szCs w:val="24"/>
        </w:rPr>
      </w:pPr>
    </w:p>
    <w:p w14:paraId="59F7FFF7" w14:textId="77777777" w:rsidR="003E4A41" w:rsidRPr="00C27B20" w:rsidRDefault="00E42692" w:rsidP="00C27B20">
      <w:pPr>
        <w:pStyle w:val="ListParagraph"/>
        <w:numPr>
          <w:ilvl w:val="0"/>
          <w:numId w:val="20"/>
        </w:numPr>
        <w:rPr>
          <w:rFonts w:ascii="Garamond" w:hAnsi="Garamond"/>
          <w:b/>
        </w:rPr>
      </w:pPr>
      <w:r w:rsidRPr="00C27B20">
        <w:rPr>
          <w:rFonts w:ascii="Garamond" w:hAnsi="Garamond"/>
          <w:b/>
        </w:rPr>
        <w:t>Introduction</w:t>
      </w:r>
    </w:p>
    <w:p w14:paraId="1A23964D" w14:textId="77777777" w:rsidR="003E4A41" w:rsidRPr="00901C48" w:rsidRDefault="003E4A41">
      <w:pPr>
        <w:rPr>
          <w:rFonts w:ascii="Garamond" w:hAnsi="Garamond"/>
          <w:b/>
          <w:sz w:val="24"/>
          <w:szCs w:val="24"/>
        </w:rPr>
      </w:pPr>
    </w:p>
    <w:p w14:paraId="642AD8C3" w14:textId="5AFA652F" w:rsidR="006B41C6" w:rsidRDefault="00E42692" w:rsidP="00B5673F">
      <w:pPr>
        <w:ind w:firstLine="720"/>
        <w:jc w:val="both"/>
        <w:rPr>
          <w:rFonts w:ascii="Garamond" w:hAnsi="Garamond"/>
          <w:sz w:val="24"/>
          <w:szCs w:val="24"/>
        </w:rPr>
      </w:pPr>
      <w:r w:rsidRPr="00901C48">
        <w:rPr>
          <w:rFonts w:ascii="Garamond" w:hAnsi="Garamond"/>
          <w:sz w:val="24"/>
          <w:szCs w:val="24"/>
        </w:rPr>
        <w:t>CMC is a trade association that brings together exchanges and their industry counterparts.  Its members include commercial end-</w:t>
      </w:r>
      <w:proofErr w:type="gramStart"/>
      <w:r w:rsidRPr="00901C48">
        <w:rPr>
          <w:rFonts w:ascii="Garamond" w:hAnsi="Garamond"/>
          <w:sz w:val="24"/>
          <w:szCs w:val="24"/>
        </w:rPr>
        <w:t>users</w:t>
      </w:r>
      <w:r w:rsidR="002F13B8">
        <w:rPr>
          <w:rFonts w:ascii="Garamond" w:hAnsi="Garamond"/>
          <w:sz w:val="24"/>
          <w:szCs w:val="24"/>
        </w:rPr>
        <w:t xml:space="preserve"> </w:t>
      </w:r>
      <w:r w:rsidRPr="00901C48">
        <w:rPr>
          <w:rFonts w:ascii="Garamond" w:hAnsi="Garamond"/>
          <w:sz w:val="24"/>
          <w:szCs w:val="24"/>
        </w:rPr>
        <w:t>which</w:t>
      </w:r>
      <w:proofErr w:type="gramEnd"/>
      <w:r w:rsidRPr="00901C48">
        <w:rPr>
          <w:rFonts w:ascii="Garamond" w:hAnsi="Garamond"/>
          <w:sz w:val="24"/>
          <w:szCs w:val="24"/>
        </w:rPr>
        <w:t xml:space="preserve"> utilize the futures and swaps markets for agriculture, energy, metal</w:t>
      </w:r>
      <w:r w:rsidR="00B47218">
        <w:rPr>
          <w:rFonts w:ascii="Garamond" w:hAnsi="Garamond"/>
          <w:sz w:val="24"/>
          <w:szCs w:val="24"/>
        </w:rPr>
        <w:t>s</w:t>
      </w:r>
      <w:r w:rsidR="004C0671">
        <w:rPr>
          <w:rFonts w:ascii="Garamond" w:hAnsi="Garamond"/>
          <w:sz w:val="24"/>
          <w:szCs w:val="24"/>
        </w:rPr>
        <w:t>,</w:t>
      </w:r>
      <w:r w:rsidRPr="00901C48">
        <w:rPr>
          <w:rFonts w:ascii="Garamond" w:hAnsi="Garamond"/>
          <w:sz w:val="24"/>
          <w:szCs w:val="24"/>
        </w:rPr>
        <w:t xml:space="preserve"> and soft commodities.  Its industry member firms also include regular users and members of such designated contract markets (each</w:t>
      </w:r>
      <w:r w:rsidR="00144282" w:rsidRPr="00901C48">
        <w:rPr>
          <w:rFonts w:ascii="Garamond" w:hAnsi="Garamond"/>
          <w:sz w:val="24"/>
          <w:szCs w:val="24"/>
        </w:rPr>
        <w:t xml:space="preserve">, a “DCM”) as the Chicago Board </w:t>
      </w:r>
      <w:r w:rsidRPr="00901C48">
        <w:rPr>
          <w:rFonts w:ascii="Garamond" w:hAnsi="Garamond"/>
          <w:sz w:val="24"/>
          <w:szCs w:val="24"/>
        </w:rPr>
        <w:t>of Trade, Chicago Mercantile Exchange</w:t>
      </w:r>
      <w:r w:rsidR="006B32B8">
        <w:rPr>
          <w:rFonts w:ascii="Garamond" w:hAnsi="Garamond"/>
          <w:sz w:val="24"/>
          <w:szCs w:val="24"/>
        </w:rPr>
        <w:t xml:space="preserve"> (“CME”)</w:t>
      </w:r>
      <w:r w:rsidRPr="00901C48">
        <w:rPr>
          <w:rFonts w:ascii="Garamond" w:hAnsi="Garamond"/>
          <w:sz w:val="24"/>
          <w:szCs w:val="24"/>
        </w:rPr>
        <w:t>, ICE Futures U</w:t>
      </w:r>
      <w:r w:rsidR="0009183D" w:rsidRPr="00901C48">
        <w:rPr>
          <w:rFonts w:ascii="Garamond" w:hAnsi="Garamond"/>
          <w:sz w:val="24"/>
          <w:szCs w:val="24"/>
        </w:rPr>
        <w:t>.</w:t>
      </w:r>
      <w:r w:rsidRPr="00901C48">
        <w:rPr>
          <w:rFonts w:ascii="Garamond" w:hAnsi="Garamond"/>
          <w:sz w:val="24"/>
          <w:szCs w:val="24"/>
        </w:rPr>
        <w:t>S</w:t>
      </w:r>
      <w:r w:rsidR="0009183D" w:rsidRPr="00901C48">
        <w:rPr>
          <w:rFonts w:ascii="Garamond" w:hAnsi="Garamond"/>
          <w:sz w:val="24"/>
          <w:szCs w:val="24"/>
        </w:rPr>
        <w:t>.</w:t>
      </w:r>
      <w:r w:rsidR="006B32B8">
        <w:rPr>
          <w:rFonts w:ascii="Garamond" w:hAnsi="Garamond"/>
          <w:sz w:val="24"/>
          <w:szCs w:val="24"/>
        </w:rPr>
        <w:t xml:space="preserve"> (“ICE”)</w:t>
      </w:r>
      <w:r w:rsidRPr="00901C48">
        <w:rPr>
          <w:rFonts w:ascii="Garamond" w:hAnsi="Garamond"/>
          <w:sz w:val="24"/>
          <w:szCs w:val="24"/>
        </w:rPr>
        <w:t>, Minneapolis Grain Exchange</w:t>
      </w:r>
      <w:r w:rsidR="004E381B">
        <w:rPr>
          <w:rFonts w:ascii="Garamond" w:hAnsi="Garamond"/>
          <w:sz w:val="24"/>
          <w:szCs w:val="24"/>
        </w:rPr>
        <w:t>,</w:t>
      </w:r>
      <w:r w:rsidRPr="00901C48">
        <w:rPr>
          <w:rFonts w:ascii="Garamond" w:hAnsi="Garamond"/>
          <w:sz w:val="24"/>
          <w:szCs w:val="24"/>
        </w:rPr>
        <w:t xml:space="preserve"> New York Mercantile Exchange</w:t>
      </w:r>
      <w:r w:rsidR="00564A77">
        <w:rPr>
          <w:rFonts w:ascii="Garamond" w:hAnsi="Garamond"/>
          <w:sz w:val="24"/>
          <w:szCs w:val="24"/>
        </w:rPr>
        <w:t>, and NASDAQ Futures, Inc</w:t>
      </w:r>
      <w:r w:rsidRPr="00901C48">
        <w:rPr>
          <w:rFonts w:ascii="Garamond" w:hAnsi="Garamond"/>
          <w:sz w:val="24"/>
          <w:szCs w:val="24"/>
        </w:rPr>
        <w:t>.  They also include users of swap execution facilities (each, a “SEF”).  The businesses of all CMC members depend upon the efficient and competitive functioning of the risk management products traded on DCMs, SEFs</w:t>
      </w:r>
      <w:r w:rsidR="004E381B">
        <w:rPr>
          <w:rFonts w:ascii="Garamond" w:hAnsi="Garamond"/>
          <w:sz w:val="24"/>
          <w:szCs w:val="24"/>
        </w:rPr>
        <w:t>,</w:t>
      </w:r>
      <w:r w:rsidRPr="00901C48">
        <w:rPr>
          <w:rFonts w:ascii="Garamond" w:hAnsi="Garamond"/>
          <w:sz w:val="24"/>
          <w:szCs w:val="24"/>
        </w:rPr>
        <w:t xml:space="preserve"> or over-the-counter (“OTC”) markets.  As a result, CMC is well positioned to provide a consensus view of commercial end-users on the impact of the Commission’s proposed regulations on derivatives markets.  Its comments, however, represent the collective view of CMC’s members, including end-users, intermediaries</w:t>
      </w:r>
      <w:r w:rsidR="006D1430">
        <w:rPr>
          <w:rFonts w:ascii="Garamond" w:hAnsi="Garamond"/>
          <w:sz w:val="24"/>
          <w:szCs w:val="24"/>
        </w:rPr>
        <w:t>,</w:t>
      </w:r>
      <w:r w:rsidRPr="00901C48">
        <w:rPr>
          <w:rFonts w:ascii="Garamond" w:hAnsi="Garamond"/>
          <w:sz w:val="24"/>
          <w:szCs w:val="24"/>
        </w:rPr>
        <w:t xml:space="preserve"> and exchanges.</w:t>
      </w:r>
    </w:p>
    <w:p w14:paraId="2C642B44" w14:textId="77777777" w:rsidR="006B41C6" w:rsidRDefault="006B41C6">
      <w:pPr>
        <w:jc w:val="both"/>
        <w:rPr>
          <w:rFonts w:ascii="Garamond" w:hAnsi="Garamond"/>
          <w:sz w:val="24"/>
          <w:szCs w:val="24"/>
        </w:rPr>
      </w:pPr>
    </w:p>
    <w:p w14:paraId="7DD6F63A" w14:textId="085830C7" w:rsidR="00071A38" w:rsidRPr="00C27B20" w:rsidRDefault="009E7124" w:rsidP="00C27B20">
      <w:pPr>
        <w:pStyle w:val="ListParagraph"/>
        <w:numPr>
          <w:ilvl w:val="0"/>
          <w:numId w:val="20"/>
        </w:numPr>
        <w:jc w:val="both"/>
        <w:rPr>
          <w:rFonts w:ascii="Garamond" w:hAnsi="Garamond"/>
          <w:b/>
        </w:rPr>
      </w:pPr>
      <w:r>
        <w:rPr>
          <w:rFonts w:ascii="Garamond" w:hAnsi="Garamond"/>
          <w:b/>
        </w:rPr>
        <w:t>The Supplemental Notice of Proposed Rulemaking</w:t>
      </w:r>
    </w:p>
    <w:p w14:paraId="1AF9D7C2" w14:textId="77777777" w:rsidR="00071A38" w:rsidRDefault="00071A38">
      <w:pPr>
        <w:jc w:val="both"/>
        <w:rPr>
          <w:rFonts w:ascii="Garamond" w:hAnsi="Garamond"/>
          <w:sz w:val="24"/>
          <w:szCs w:val="24"/>
        </w:rPr>
      </w:pPr>
    </w:p>
    <w:p w14:paraId="5E9D797C" w14:textId="11C0791C" w:rsidR="00FC6E2C" w:rsidRDefault="00144282" w:rsidP="00B5673F">
      <w:pPr>
        <w:ind w:firstLine="720"/>
        <w:jc w:val="both"/>
        <w:rPr>
          <w:rFonts w:ascii="Garamond" w:hAnsi="Garamond"/>
          <w:sz w:val="24"/>
          <w:szCs w:val="24"/>
        </w:rPr>
      </w:pPr>
      <w:r w:rsidRPr="00901C48">
        <w:rPr>
          <w:rFonts w:ascii="Garamond" w:hAnsi="Garamond"/>
          <w:sz w:val="24"/>
          <w:szCs w:val="24"/>
        </w:rPr>
        <w:t xml:space="preserve">CMC commends </w:t>
      </w:r>
      <w:r w:rsidR="00FC6E2C">
        <w:rPr>
          <w:rFonts w:ascii="Garamond" w:hAnsi="Garamond"/>
          <w:sz w:val="24"/>
          <w:szCs w:val="24"/>
        </w:rPr>
        <w:t xml:space="preserve">Chairman </w:t>
      </w:r>
      <w:proofErr w:type="spellStart"/>
      <w:r w:rsidR="00FC6E2C">
        <w:rPr>
          <w:rFonts w:ascii="Garamond" w:hAnsi="Garamond"/>
          <w:sz w:val="24"/>
          <w:szCs w:val="24"/>
        </w:rPr>
        <w:t>Massad</w:t>
      </w:r>
      <w:proofErr w:type="spellEnd"/>
      <w:r w:rsidR="00FC6E2C">
        <w:rPr>
          <w:rFonts w:ascii="Garamond" w:hAnsi="Garamond"/>
          <w:sz w:val="24"/>
          <w:szCs w:val="24"/>
        </w:rPr>
        <w:t xml:space="preserve"> for personally acknowledging that none of the current Commissioners were in office when the 2013 Proposed Rule was issued and</w:t>
      </w:r>
      <w:r w:rsidR="002F13B8">
        <w:rPr>
          <w:rFonts w:ascii="Garamond" w:hAnsi="Garamond"/>
          <w:sz w:val="24"/>
          <w:szCs w:val="24"/>
        </w:rPr>
        <w:t xml:space="preserve"> for</w:t>
      </w:r>
      <w:r w:rsidR="00FC6E2C">
        <w:rPr>
          <w:rFonts w:ascii="Garamond" w:hAnsi="Garamond"/>
          <w:sz w:val="24"/>
          <w:szCs w:val="24"/>
        </w:rPr>
        <w:t xml:space="preserve"> his willingness </w:t>
      </w:r>
      <w:r w:rsidR="00E00FDF">
        <w:rPr>
          <w:rFonts w:ascii="Garamond" w:hAnsi="Garamond"/>
          <w:sz w:val="24"/>
          <w:szCs w:val="24"/>
        </w:rPr>
        <w:t xml:space="preserve">to </w:t>
      </w:r>
      <w:r w:rsidR="00FC6E2C">
        <w:rPr>
          <w:rFonts w:ascii="Garamond" w:hAnsi="Garamond"/>
          <w:sz w:val="24"/>
          <w:szCs w:val="24"/>
        </w:rPr>
        <w:t xml:space="preserve">listen to </w:t>
      </w:r>
      <w:r w:rsidR="00544D94">
        <w:rPr>
          <w:rFonts w:ascii="Garamond" w:hAnsi="Garamond"/>
          <w:sz w:val="24"/>
          <w:szCs w:val="24"/>
        </w:rPr>
        <w:t xml:space="preserve">commercial </w:t>
      </w:r>
      <w:r w:rsidR="00FC6E2C">
        <w:rPr>
          <w:rFonts w:ascii="Garamond" w:hAnsi="Garamond"/>
          <w:sz w:val="24"/>
          <w:szCs w:val="24"/>
        </w:rPr>
        <w:t xml:space="preserve">end-users and other market participants before issuing a final position limits </w:t>
      </w:r>
      <w:r w:rsidR="00FC6E2C">
        <w:rPr>
          <w:rFonts w:ascii="Garamond" w:hAnsi="Garamond"/>
          <w:sz w:val="24"/>
          <w:szCs w:val="24"/>
        </w:rPr>
        <w:lastRenderedPageBreak/>
        <w:t>rulemaking “to understand the significance of these rules to the ability of commercial end-users to continue to use the markets efficiently for risk management and price discovery.”</w:t>
      </w:r>
      <w:r w:rsidR="00FC6E2C">
        <w:rPr>
          <w:rStyle w:val="FootnoteReference"/>
          <w:rFonts w:ascii="Garamond" w:hAnsi="Garamond"/>
          <w:sz w:val="24"/>
          <w:szCs w:val="24"/>
        </w:rPr>
        <w:footnoteReference w:id="2"/>
      </w:r>
      <w:r w:rsidR="00FC6E2C">
        <w:rPr>
          <w:rFonts w:ascii="Garamond" w:hAnsi="Garamond"/>
          <w:sz w:val="24"/>
          <w:szCs w:val="24"/>
        </w:rPr>
        <w:t xml:space="preserve">  CMC also commends Commissioner Bowen for personally acknowledging that the current 2013 Proposed Rule is imperfect, and that it can and should be improved to provide more clarity and ease of operation for commercial end-users</w:t>
      </w:r>
      <w:r w:rsidR="00AE23F8">
        <w:rPr>
          <w:rFonts w:ascii="Garamond" w:hAnsi="Garamond"/>
          <w:sz w:val="24"/>
          <w:szCs w:val="24"/>
        </w:rPr>
        <w:t>.</w:t>
      </w:r>
      <w:r w:rsidR="00AE23F8">
        <w:rPr>
          <w:rStyle w:val="FootnoteReference"/>
          <w:rFonts w:ascii="Garamond" w:hAnsi="Garamond"/>
          <w:sz w:val="24"/>
          <w:szCs w:val="24"/>
        </w:rPr>
        <w:footnoteReference w:id="3"/>
      </w:r>
      <w:r w:rsidR="00AE23F8">
        <w:rPr>
          <w:rFonts w:ascii="Garamond" w:hAnsi="Garamond"/>
          <w:sz w:val="24"/>
          <w:szCs w:val="24"/>
        </w:rPr>
        <w:t xml:space="preserve">  Likewise, CMC commends Commissioner Giancarlo for his willingness to take “additional steps to ensure that the practical issues raised by the agricultural and end-user communities are addressed in the final rule,” and </w:t>
      </w:r>
      <w:r w:rsidR="00E75E7F">
        <w:rPr>
          <w:rFonts w:ascii="Garamond" w:hAnsi="Garamond"/>
          <w:sz w:val="24"/>
          <w:szCs w:val="24"/>
        </w:rPr>
        <w:t>that the Commission “must balance regulatory burdens with clear economic benefits if we are to maintain liquid commodity hedging markets that support our American way of life.”</w:t>
      </w:r>
      <w:r w:rsidR="00E75E7F">
        <w:rPr>
          <w:rStyle w:val="FootnoteReference"/>
          <w:rFonts w:ascii="Garamond" w:hAnsi="Garamond"/>
          <w:sz w:val="24"/>
          <w:szCs w:val="24"/>
        </w:rPr>
        <w:footnoteReference w:id="4"/>
      </w:r>
    </w:p>
    <w:p w14:paraId="4EAB207C" w14:textId="77777777" w:rsidR="00FC6E2C" w:rsidRDefault="00FC6E2C">
      <w:pPr>
        <w:jc w:val="both"/>
        <w:rPr>
          <w:rFonts w:ascii="Garamond" w:hAnsi="Garamond"/>
          <w:sz w:val="24"/>
          <w:szCs w:val="24"/>
        </w:rPr>
      </w:pPr>
    </w:p>
    <w:p w14:paraId="60E3E569" w14:textId="22212EBD" w:rsidR="003911E6" w:rsidRPr="00BE0FFA" w:rsidRDefault="004268F8" w:rsidP="006E570C">
      <w:pPr>
        <w:ind w:firstLine="720"/>
        <w:jc w:val="both"/>
        <w:rPr>
          <w:rFonts w:ascii="Garamond" w:hAnsi="Garamond"/>
          <w:sz w:val="24"/>
          <w:szCs w:val="24"/>
        </w:rPr>
      </w:pPr>
      <w:r>
        <w:rPr>
          <w:rFonts w:ascii="Garamond" w:hAnsi="Garamond"/>
          <w:sz w:val="24"/>
          <w:szCs w:val="24"/>
        </w:rPr>
        <w:t xml:space="preserve">CMC </w:t>
      </w:r>
      <w:r w:rsidR="006F2B27">
        <w:rPr>
          <w:rFonts w:ascii="Garamond" w:hAnsi="Garamond"/>
          <w:sz w:val="24"/>
          <w:szCs w:val="24"/>
        </w:rPr>
        <w:t>appreciates</w:t>
      </w:r>
      <w:r w:rsidR="00A44218">
        <w:rPr>
          <w:rFonts w:ascii="Garamond" w:hAnsi="Garamond"/>
          <w:sz w:val="24"/>
          <w:szCs w:val="24"/>
        </w:rPr>
        <w:t xml:space="preserve"> the </w:t>
      </w:r>
      <w:r>
        <w:rPr>
          <w:rFonts w:ascii="Garamond" w:hAnsi="Garamond"/>
          <w:sz w:val="24"/>
          <w:szCs w:val="24"/>
        </w:rPr>
        <w:t xml:space="preserve">Commission’s efforts </w:t>
      </w:r>
      <w:r w:rsidR="00CA549F">
        <w:rPr>
          <w:rFonts w:ascii="Garamond" w:hAnsi="Garamond"/>
          <w:sz w:val="24"/>
          <w:szCs w:val="24"/>
        </w:rPr>
        <w:t>in</w:t>
      </w:r>
      <w:r>
        <w:rPr>
          <w:rFonts w:ascii="Garamond" w:hAnsi="Garamond"/>
          <w:sz w:val="24"/>
          <w:szCs w:val="24"/>
        </w:rPr>
        <w:t xml:space="preserve"> listening to the </w:t>
      </w:r>
      <w:r w:rsidRPr="00901C48">
        <w:rPr>
          <w:rFonts w:ascii="Garamond" w:hAnsi="Garamond"/>
          <w:sz w:val="24"/>
          <w:szCs w:val="24"/>
        </w:rPr>
        <w:t xml:space="preserve">concerns raised by our members </w:t>
      </w:r>
      <w:r w:rsidR="00CA549F">
        <w:rPr>
          <w:rFonts w:ascii="Garamond" w:hAnsi="Garamond"/>
          <w:sz w:val="24"/>
          <w:szCs w:val="24"/>
        </w:rPr>
        <w:t>at</w:t>
      </w:r>
      <w:r w:rsidRPr="00901C48">
        <w:rPr>
          <w:rFonts w:ascii="Garamond" w:hAnsi="Garamond"/>
          <w:sz w:val="24"/>
          <w:szCs w:val="24"/>
        </w:rPr>
        <w:t xml:space="preserve"> CFTC staff roundtables, Advisory Committee meetings, and</w:t>
      </w:r>
      <w:r w:rsidR="00CA549F">
        <w:rPr>
          <w:rFonts w:ascii="Garamond" w:hAnsi="Garamond"/>
          <w:sz w:val="24"/>
          <w:szCs w:val="24"/>
        </w:rPr>
        <w:t xml:space="preserve"> in </w:t>
      </w:r>
      <w:r w:rsidRPr="00901C48">
        <w:rPr>
          <w:rFonts w:ascii="Garamond" w:hAnsi="Garamond"/>
          <w:sz w:val="24"/>
          <w:szCs w:val="24"/>
        </w:rPr>
        <w:t>comment letters</w:t>
      </w:r>
      <w:r w:rsidR="00BF4F6F">
        <w:rPr>
          <w:rFonts w:ascii="Garamond" w:hAnsi="Garamond"/>
          <w:sz w:val="24"/>
          <w:szCs w:val="24"/>
        </w:rPr>
        <w:t>;</w:t>
      </w:r>
      <w:r>
        <w:rPr>
          <w:rFonts w:ascii="Garamond" w:hAnsi="Garamond"/>
          <w:sz w:val="24"/>
          <w:szCs w:val="24"/>
        </w:rPr>
        <w:t xml:space="preserve"> and responding </w:t>
      </w:r>
      <w:r w:rsidR="00CA1B56">
        <w:rPr>
          <w:rFonts w:ascii="Garamond" w:hAnsi="Garamond"/>
          <w:sz w:val="24"/>
          <w:szCs w:val="24"/>
        </w:rPr>
        <w:t xml:space="preserve">to some of </w:t>
      </w:r>
      <w:r w:rsidR="00564A77">
        <w:rPr>
          <w:rFonts w:ascii="Garamond" w:hAnsi="Garamond"/>
          <w:sz w:val="24"/>
          <w:szCs w:val="24"/>
        </w:rPr>
        <w:t>those</w:t>
      </w:r>
      <w:r w:rsidR="00CA1B56">
        <w:rPr>
          <w:rFonts w:ascii="Garamond" w:hAnsi="Garamond"/>
          <w:sz w:val="24"/>
          <w:szCs w:val="24"/>
        </w:rPr>
        <w:t xml:space="preserve"> concerns through the issuance of</w:t>
      </w:r>
      <w:r w:rsidR="00BC7B1C" w:rsidRPr="00901C48">
        <w:rPr>
          <w:rFonts w:ascii="Garamond" w:hAnsi="Garamond"/>
          <w:sz w:val="24"/>
          <w:szCs w:val="24"/>
        </w:rPr>
        <w:t xml:space="preserve"> </w:t>
      </w:r>
      <w:r w:rsidR="00CA1B56">
        <w:rPr>
          <w:rFonts w:ascii="Garamond" w:hAnsi="Garamond"/>
          <w:sz w:val="24"/>
          <w:szCs w:val="24"/>
        </w:rPr>
        <w:t>the</w:t>
      </w:r>
      <w:r w:rsidR="00BC7B1C" w:rsidRPr="00901C48">
        <w:rPr>
          <w:rFonts w:ascii="Garamond" w:hAnsi="Garamond"/>
          <w:sz w:val="24"/>
          <w:szCs w:val="24"/>
        </w:rPr>
        <w:t xml:space="preserve"> supplemental notice of proposed rulemaking </w:t>
      </w:r>
      <w:r w:rsidR="00257E78">
        <w:rPr>
          <w:rFonts w:ascii="Garamond" w:hAnsi="Garamond"/>
          <w:sz w:val="24"/>
          <w:szCs w:val="24"/>
        </w:rPr>
        <w:t>(“Supplemental Proposal”)</w:t>
      </w:r>
      <w:r w:rsidR="001340CF">
        <w:rPr>
          <w:rStyle w:val="FootnoteReference"/>
          <w:rFonts w:ascii="Garamond" w:hAnsi="Garamond"/>
          <w:sz w:val="24"/>
          <w:szCs w:val="24"/>
        </w:rPr>
        <w:footnoteReference w:id="5"/>
      </w:r>
      <w:r w:rsidR="002D173E" w:rsidRPr="00901C48">
        <w:rPr>
          <w:rFonts w:ascii="Garamond" w:hAnsi="Garamond"/>
          <w:sz w:val="24"/>
          <w:szCs w:val="24"/>
        </w:rPr>
        <w:t>.</w:t>
      </w:r>
      <w:r w:rsidR="0031128F" w:rsidRPr="00901C48">
        <w:rPr>
          <w:rFonts w:ascii="Garamond" w:hAnsi="Garamond"/>
          <w:sz w:val="24"/>
          <w:szCs w:val="24"/>
        </w:rPr>
        <w:t xml:space="preserve"> </w:t>
      </w:r>
      <w:r w:rsidR="00034390">
        <w:rPr>
          <w:rFonts w:ascii="Garamond" w:hAnsi="Garamond"/>
          <w:sz w:val="24"/>
          <w:szCs w:val="24"/>
        </w:rPr>
        <w:t xml:space="preserve"> </w:t>
      </w:r>
      <w:r w:rsidR="00744504" w:rsidRPr="00901C48">
        <w:rPr>
          <w:rFonts w:ascii="Garamond" w:hAnsi="Garamond"/>
          <w:sz w:val="24"/>
          <w:szCs w:val="24"/>
        </w:rPr>
        <w:t xml:space="preserve">CMC </w:t>
      </w:r>
      <w:r w:rsidR="006F2B27">
        <w:rPr>
          <w:rFonts w:ascii="Garamond" w:hAnsi="Garamond"/>
          <w:sz w:val="24"/>
          <w:szCs w:val="24"/>
        </w:rPr>
        <w:t>particularly applauds</w:t>
      </w:r>
      <w:r w:rsidR="0031128F" w:rsidRPr="00901C48">
        <w:rPr>
          <w:rFonts w:ascii="Garamond" w:hAnsi="Garamond"/>
          <w:sz w:val="24"/>
          <w:szCs w:val="24"/>
        </w:rPr>
        <w:t xml:space="preserve"> the Commission’s </w:t>
      </w:r>
      <w:r w:rsidR="00744504" w:rsidRPr="00901C48">
        <w:rPr>
          <w:rFonts w:ascii="Garamond" w:hAnsi="Garamond"/>
          <w:sz w:val="24"/>
          <w:szCs w:val="24"/>
        </w:rPr>
        <w:t xml:space="preserve">proposal to </w:t>
      </w:r>
      <w:r w:rsidR="007737C8">
        <w:rPr>
          <w:rFonts w:ascii="Garamond" w:hAnsi="Garamond"/>
          <w:sz w:val="24"/>
          <w:szCs w:val="24"/>
        </w:rPr>
        <w:t xml:space="preserve">continue to maintain its reliance </w:t>
      </w:r>
      <w:r w:rsidR="00744504" w:rsidRPr="00901C48">
        <w:rPr>
          <w:rFonts w:ascii="Garamond" w:hAnsi="Garamond"/>
          <w:sz w:val="24"/>
          <w:szCs w:val="24"/>
        </w:rPr>
        <w:t xml:space="preserve">on the expertise of </w:t>
      </w:r>
      <w:r w:rsidR="007737C8">
        <w:rPr>
          <w:rFonts w:ascii="Garamond" w:hAnsi="Garamond"/>
          <w:sz w:val="24"/>
          <w:szCs w:val="24"/>
        </w:rPr>
        <w:t xml:space="preserve">the </w:t>
      </w:r>
      <w:r w:rsidR="00744504" w:rsidRPr="00901C48">
        <w:rPr>
          <w:rFonts w:ascii="Garamond" w:hAnsi="Garamond"/>
          <w:sz w:val="24"/>
          <w:szCs w:val="24"/>
        </w:rPr>
        <w:t>exchanges to recognize non-enumerated</w:t>
      </w:r>
      <w:r w:rsidR="002F13B8">
        <w:rPr>
          <w:rFonts w:ascii="Garamond" w:hAnsi="Garamond"/>
          <w:sz w:val="24"/>
          <w:szCs w:val="24"/>
        </w:rPr>
        <w:t xml:space="preserve"> </w:t>
      </w:r>
      <w:r w:rsidR="002F13B8" w:rsidRPr="00BE0FFA">
        <w:rPr>
          <w:rFonts w:ascii="Garamond" w:hAnsi="Garamond"/>
          <w:i/>
          <w:sz w:val="24"/>
          <w:szCs w:val="24"/>
        </w:rPr>
        <w:t>bona fide</w:t>
      </w:r>
      <w:r w:rsidR="00744504" w:rsidRPr="00901C48">
        <w:rPr>
          <w:rFonts w:ascii="Garamond" w:hAnsi="Garamond"/>
          <w:sz w:val="24"/>
          <w:szCs w:val="24"/>
        </w:rPr>
        <w:t xml:space="preserve"> hedge exemptions (</w:t>
      </w:r>
      <w:r w:rsidR="00D8081A">
        <w:rPr>
          <w:rFonts w:ascii="Garamond" w:hAnsi="Garamond"/>
          <w:sz w:val="24"/>
          <w:szCs w:val="24"/>
        </w:rPr>
        <w:t>“</w:t>
      </w:r>
      <w:r w:rsidR="00744504" w:rsidRPr="00901C48">
        <w:rPr>
          <w:rFonts w:ascii="Garamond" w:hAnsi="Garamond"/>
          <w:sz w:val="24"/>
          <w:szCs w:val="24"/>
        </w:rPr>
        <w:t>NEBFH</w:t>
      </w:r>
      <w:r w:rsidR="00D8081A">
        <w:rPr>
          <w:rFonts w:ascii="Garamond" w:hAnsi="Garamond"/>
          <w:sz w:val="24"/>
          <w:szCs w:val="24"/>
        </w:rPr>
        <w:t>”</w:t>
      </w:r>
      <w:r w:rsidR="00744504" w:rsidRPr="00901C48">
        <w:rPr>
          <w:rFonts w:ascii="Garamond" w:hAnsi="Garamond"/>
          <w:sz w:val="24"/>
          <w:szCs w:val="24"/>
        </w:rPr>
        <w:t>), spread exemptions, and anticipatory hedg</w:t>
      </w:r>
      <w:r w:rsidR="00DD2850">
        <w:rPr>
          <w:rFonts w:ascii="Garamond" w:hAnsi="Garamond"/>
          <w:sz w:val="24"/>
          <w:szCs w:val="24"/>
        </w:rPr>
        <w:t>e</w:t>
      </w:r>
      <w:r w:rsidR="00744504" w:rsidRPr="00901C48">
        <w:rPr>
          <w:rFonts w:ascii="Garamond" w:hAnsi="Garamond"/>
          <w:sz w:val="24"/>
          <w:szCs w:val="24"/>
        </w:rPr>
        <w:t xml:space="preserve"> exemptions.</w:t>
      </w:r>
      <w:r w:rsidR="0031128F" w:rsidRPr="00901C48">
        <w:rPr>
          <w:rFonts w:ascii="Garamond" w:hAnsi="Garamond"/>
          <w:sz w:val="24"/>
          <w:szCs w:val="24"/>
        </w:rPr>
        <w:t xml:space="preserve"> </w:t>
      </w:r>
      <w:r w:rsidR="003911E6">
        <w:rPr>
          <w:rFonts w:ascii="Garamond" w:hAnsi="Garamond"/>
          <w:sz w:val="24"/>
          <w:szCs w:val="24"/>
        </w:rPr>
        <w:t xml:space="preserve"> </w:t>
      </w:r>
      <w:r w:rsidR="002F13B8" w:rsidRPr="00BE0FFA">
        <w:rPr>
          <w:rFonts w:ascii="Garamond" w:hAnsi="Garamond"/>
          <w:sz w:val="24"/>
          <w:szCs w:val="24"/>
        </w:rPr>
        <w:t xml:space="preserve">Nonetheless, CMC members believe that, on </w:t>
      </w:r>
      <w:r w:rsidR="002F13B8">
        <w:rPr>
          <w:rFonts w:ascii="Garamond" w:hAnsi="Garamond"/>
          <w:sz w:val="24"/>
          <w:szCs w:val="24"/>
        </w:rPr>
        <w:t xml:space="preserve">the </w:t>
      </w:r>
      <w:r w:rsidR="002F13B8" w:rsidRPr="00BE0FFA">
        <w:rPr>
          <w:rFonts w:ascii="Garamond" w:hAnsi="Garamond"/>
          <w:sz w:val="24"/>
          <w:szCs w:val="24"/>
        </w:rPr>
        <w:t xml:space="preserve">balance, this proposal does not deliver on current Commissioners’ acknowledgements that the Commission’s position limits rule requires improvement. After a considerable amount of additional CMC and industry input to the current Commission, there are still several key elements that remain either rejected or unaddressed by this Supplemental Proposal that should be reconsidered.  </w:t>
      </w:r>
      <w:r w:rsidR="003911E6" w:rsidRPr="00BE0FFA">
        <w:rPr>
          <w:rFonts w:ascii="Garamond" w:hAnsi="Garamond"/>
          <w:sz w:val="24"/>
          <w:szCs w:val="24"/>
        </w:rPr>
        <w:t xml:space="preserve"> </w:t>
      </w:r>
      <w:r w:rsidR="002F13B8" w:rsidRPr="00BE0FFA">
        <w:rPr>
          <w:rFonts w:ascii="Garamond" w:hAnsi="Garamond"/>
          <w:sz w:val="24"/>
          <w:szCs w:val="24"/>
        </w:rPr>
        <w:t>T</w:t>
      </w:r>
      <w:r w:rsidR="003911E6" w:rsidRPr="00BE0FFA">
        <w:rPr>
          <w:rFonts w:ascii="Garamond" w:hAnsi="Garamond"/>
          <w:sz w:val="24"/>
          <w:szCs w:val="24"/>
        </w:rPr>
        <w:t xml:space="preserve">he rule remains </w:t>
      </w:r>
      <w:r w:rsidR="003911E6" w:rsidRPr="00BE0FFA">
        <w:rPr>
          <w:rFonts w:ascii="Garamond" w:hAnsi="Garamond"/>
          <w:i/>
          <w:sz w:val="24"/>
          <w:szCs w:val="24"/>
        </w:rPr>
        <w:t>imperfect</w:t>
      </w:r>
      <w:r w:rsidR="003911E6" w:rsidRPr="00BE0FFA">
        <w:rPr>
          <w:rFonts w:ascii="Garamond" w:hAnsi="Garamond"/>
          <w:sz w:val="24"/>
          <w:szCs w:val="24"/>
        </w:rPr>
        <w:t xml:space="preserve"> and more work is needed to allow commercial end-users to </w:t>
      </w:r>
      <w:r w:rsidR="003911E6" w:rsidRPr="00BE0FFA">
        <w:rPr>
          <w:rFonts w:ascii="Garamond" w:hAnsi="Garamond"/>
          <w:i/>
          <w:sz w:val="24"/>
          <w:szCs w:val="24"/>
        </w:rPr>
        <w:t>continue</w:t>
      </w:r>
      <w:r w:rsidR="003911E6" w:rsidRPr="00BE0FFA">
        <w:rPr>
          <w:rFonts w:ascii="Garamond" w:hAnsi="Garamond"/>
          <w:sz w:val="24"/>
          <w:szCs w:val="24"/>
        </w:rPr>
        <w:t xml:space="preserve"> to use the markets efficiently for risk management and price discovery.  Additional steps must be taken to provide </w:t>
      </w:r>
      <w:r w:rsidR="006F01BC" w:rsidRPr="00BE0FFA">
        <w:rPr>
          <w:rFonts w:ascii="Garamond" w:hAnsi="Garamond"/>
          <w:sz w:val="24"/>
          <w:szCs w:val="24"/>
        </w:rPr>
        <w:t xml:space="preserve">additional </w:t>
      </w:r>
      <w:r w:rsidR="006F01BC" w:rsidRPr="00BE0FFA">
        <w:rPr>
          <w:rFonts w:ascii="Garamond" w:hAnsi="Garamond"/>
          <w:i/>
          <w:sz w:val="24"/>
          <w:szCs w:val="24"/>
        </w:rPr>
        <w:t>clarity</w:t>
      </w:r>
      <w:r w:rsidR="006F01BC" w:rsidRPr="00BE0FFA">
        <w:rPr>
          <w:rFonts w:ascii="Garamond" w:hAnsi="Garamond"/>
          <w:sz w:val="24"/>
          <w:szCs w:val="24"/>
        </w:rPr>
        <w:t xml:space="preserve"> and ease of operation for commercial end-users, and to ensure that the practical issues raised by our members are truly addressed in the final position limits rule.</w:t>
      </w:r>
      <w:r w:rsidR="00F940FB" w:rsidRPr="00BE0FFA">
        <w:rPr>
          <w:rFonts w:ascii="Garamond" w:hAnsi="Garamond"/>
          <w:sz w:val="24"/>
          <w:szCs w:val="24"/>
        </w:rPr>
        <w:t xml:space="preserve">  We </w:t>
      </w:r>
      <w:r w:rsidR="002F13B8" w:rsidRPr="00BE0FFA">
        <w:rPr>
          <w:rFonts w:ascii="Garamond" w:hAnsi="Garamond"/>
          <w:sz w:val="24"/>
          <w:szCs w:val="24"/>
        </w:rPr>
        <w:t>s</w:t>
      </w:r>
      <w:r w:rsidR="00F940FB" w:rsidRPr="00BE0FFA">
        <w:rPr>
          <w:rFonts w:ascii="Garamond" w:hAnsi="Garamond"/>
          <w:sz w:val="24"/>
          <w:szCs w:val="24"/>
        </w:rPr>
        <w:t xml:space="preserve">eek rulemaking that affirms time-tested price discovery practices versus a market environment of month-to-month volatility, which may be detrimental to the welfare of consumer both in the U.S and abroad. </w:t>
      </w:r>
      <w:r w:rsidR="006F01BC" w:rsidRPr="00BE0FFA">
        <w:rPr>
          <w:rFonts w:ascii="Garamond" w:hAnsi="Garamond"/>
          <w:sz w:val="24"/>
          <w:szCs w:val="24"/>
        </w:rPr>
        <w:t xml:space="preserve"> </w:t>
      </w:r>
    </w:p>
    <w:p w14:paraId="62F44939" w14:textId="77777777" w:rsidR="003911E6" w:rsidRPr="00BE0FFA" w:rsidRDefault="003911E6" w:rsidP="006E570C">
      <w:pPr>
        <w:ind w:firstLine="720"/>
        <w:jc w:val="both"/>
        <w:rPr>
          <w:rFonts w:ascii="Garamond" w:hAnsi="Garamond"/>
          <w:sz w:val="24"/>
          <w:szCs w:val="24"/>
        </w:rPr>
      </w:pPr>
    </w:p>
    <w:p w14:paraId="627E7E05" w14:textId="391B133B" w:rsidR="001B644A" w:rsidRDefault="005C0AC2" w:rsidP="006E570C">
      <w:pPr>
        <w:ind w:firstLine="720"/>
        <w:jc w:val="both"/>
        <w:rPr>
          <w:rFonts w:ascii="Garamond" w:hAnsi="Garamond"/>
          <w:sz w:val="24"/>
          <w:szCs w:val="24"/>
        </w:rPr>
      </w:pPr>
      <w:r w:rsidRPr="00BE0FFA">
        <w:rPr>
          <w:rFonts w:ascii="Garamond" w:hAnsi="Garamond"/>
          <w:sz w:val="24"/>
          <w:szCs w:val="24"/>
        </w:rPr>
        <w:t xml:space="preserve"> </w:t>
      </w:r>
      <w:r w:rsidR="00901C48" w:rsidRPr="00BE0FFA">
        <w:rPr>
          <w:rFonts w:ascii="Garamond" w:hAnsi="Garamond"/>
          <w:sz w:val="24"/>
          <w:szCs w:val="24"/>
        </w:rPr>
        <w:t>CMC members</w:t>
      </w:r>
      <w:r w:rsidR="00744504" w:rsidRPr="00BE0FFA">
        <w:rPr>
          <w:rFonts w:ascii="Garamond" w:hAnsi="Garamond"/>
          <w:sz w:val="24"/>
          <w:szCs w:val="24"/>
        </w:rPr>
        <w:t xml:space="preserve"> </w:t>
      </w:r>
      <w:r w:rsidR="0031128F" w:rsidRPr="00BE0FFA">
        <w:rPr>
          <w:rFonts w:ascii="Garamond" w:hAnsi="Garamond"/>
          <w:sz w:val="24"/>
          <w:szCs w:val="24"/>
        </w:rPr>
        <w:t xml:space="preserve">believe that </w:t>
      </w:r>
      <w:r w:rsidR="00C54FD0" w:rsidRPr="00BE0FFA">
        <w:rPr>
          <w:rFonts w:ascii="Garamond" w:hAnsi="Garamond"/>
          <w:sz w:val="24"/>
          <w:szCs w:val="24"/>
        </w:rPr>
        <w:t>there remain</w:t>
      </w:r>
      <w:r w:rsidR="006F4E13" w:rsidRPr="00BE0FFA">
        <w:rPr>
          <w:rFonts w:ascii="Garamond" w:hAnsi="Garamond"/>
          <w:sz w:val="24"/>
          <w:szCs w:val="24"/>
        </w:rPr>
        <w:t xml:space="preserve"> </w:t>
      </w:r>
      <w:r w:rsidR="006F4E13" w:rsidRPr="00BE0FFA">
        <w:rPr>
          <w:rFonts w:ascii="Garamond" w:hAnsi="Garamond"/>
          <w:i/>
          <w:sz w:val="24"/>
          <w:szCs w:val="24"/>
        </w:rPr>
        <w:t>several key elements</w:t>
      </w:r>
      <w:r w:rsidR="006F4E13" w:rsidRPr="00BE0FFA">
        <w:rPr>
          <w:rFonts w:ascii="Garamond" w:hAnsi="Garamond"/>
          <w:sz w:val="24"/>
          <w:szCs w:val="24"/>
        </w:rPr>
        <w:t xml:space="preserve"> either rejected or unaddressed in the Supplemental Proposal that should be reconsidered prior to implementation of a final </w:t>
      </w:r>
      <w:r w:rsidR="00034390" w:rsidRPr="00BE0FFA">
        <w:rPr>
          <w:rFonts w:ascii="Garamond" w:hAnsi="Garamond"/>
          <w:sz w:val="24"/>
          <w:szCs w:val="24"/>
        </w:rPr>
        <w:t xml:space="preserve">position limits </w:t>
      </w:r>
      <w:r w:rsidR="006F4E13" w:rsidRPr="00BE0FFA">
        <w:rPr>
          <w:rFonts w:ascii="Garamond" w:hAnsi="Garamond"/>
          <w:sz w:val="24"/>
          <w:szCs w:val="24"/>
        </w:rPr>
        <w:t>rule</w:t>
      </w:r>
      <w:r w:rsidR="004268F8" w:rsidRPr="00BE0FFA">
        <w:rPr>
          <w:rFonts w:ascii="Garamond" w:hAnsi="Garamond"/>
          <w:sz w:val="24"/>
          <w:szCs w:val="24"/>
        </w:rPr>
        <w:t xml:space="preserve"> </w:t>
      </w:r>
      <w:r w:rsidR="00034390" w:rsidRPr="00BE0FFA">
        <w:rPr>
          <w:rFonts w:ascii="Garamond" w:hAnsi="Garamond"/>
          <w:sz w:val="24"/>
          <w:szCs w:val="24"/>
        </w:rPr>
        <w:t xml:space="preserve">for the benefit of the American public, farmers, ranchers, </w:t>
      </w:r>
      <w:r w:rsidR="00541F4B" w:rsidRPr="00BE0FFA">
        <w:rPr>
          <w:rFonts w:ascii="Garamond" w:hAnsi="Garamond"/>
          <w:sz w:val="24"/>
          <w:szCs w:val="24"/>
        </w:rPr>
        <w:t xml:space="preserve">merchandisers, </w:t>
      </w:r>
      <w:r w:rsidR="00034390" w:rsidRPr="00BE0FFA">
        <w:rPr>
          <w:rFonts w:ascii="Garamond" w:hAnsi="Garamond"/>
          <w:sz w:val="24"/>
          <w:szCs w:val="24"/>
        </w:rPr>
        <w:t>and commodities producers.  These modest modifications will</w:t>
      </w:r>
      <w:r w:rsidR="004268F8" w:rsidRPr="00BE0FFA">
        <w:rPr>
          <w:rFonts w:ascii="Garamond" w:hAnsi="Garamond"/>
          <w:sz w:val="24"/>
          <w:szCs w:val="24"/>
        </w:rPr>
        <w:t xml:space="preserve"> ensure that commercial end-users </w:t>
      </w:r>
      <w:r w:rsidR="005D71AF" w:rsidRPr="00BE0FFA">
        <w:rPr>
          <w:rFonts w:ascii="Garamond" w:hAnsi="Garamond"/>
          <w:sz w:val="24"/>
          <w:szCs w:val="24"/>
        </w:rPr>
        <w:t>continue engaging in effective, essential, sound, and appropriate risk management practices</w:t>
      </w:r>
      <w:r w:rsidR="004268F8" w:rsidRPr="00BE0FFA">
        <w:rPr>
          <w:rFonts w:ascii="Garamond" w:hAnsi="Garamond"/>
          <w:sz w:val="24"/>
          <w:szCs w:val="24"/>
        </w:rPr>
        <w:t>.</w:t>
      </w:r>
    </w:p>
    <w:p w14:paraId="3F0828A6" w14:textId="77777777" w:rsidR="00776BA8" w:rsidRDefault="00776BA8">
      <w:pPr>
        <w:jc w:val="both"/>
        <w:rPr>
          <w:rFonts w:ascii="Garamond" w:hAnsi="Garamond"/>
          <w:sz w:val="24"/>
          <w:szCs w:val="24"/>
        </w:rPr>
      </w:pPr>
    </w:p>
    <w:p w14:paraId="27F7A619" w14:textId="525C8561" w:rsidR="00776BA8" w:rsidRPr="00C41984" w:rsidRDefault="00776BA8" w:rsidP="00627304">
      <w:pPr>
        <w:pStyle w:val="ListParagraph"/>
        <w:numPr>
          <w:ilvl w:val="0"/>
          <w:numId w:val="31"/>
        </w:numPr>
        <w:ind w:left="1440"/>
        <w:jc w:val="both"/>
        <w:rPr>
          <w:rFonts w:ascii="Garamond" w:hAnsi="Garamond"/>
          <w:b/>
        </w:rPr>
      </w:pPr>
      <w:r w:rsidRPr="00C41984">
        <w:rPr>
          <w:rFonts w:ascii="Garamond" w:hAnsi="Garamond"/>
          <w:b/>
        </w:rPr>
        <w:lastRenderedPageBreak/>
        <w:t xml:space="preserve">An Effective and Efficient </w:t>
      </w:r>
      <w:r w:rsidR="00905616">
        <w:rPr>
          <w:rFonts w:ascii="Garamond" w:hAnsi="Garamond"/>
          <w:b/>
        </w:rPr>
        <w:t xml:space="preserve">Federal </w:t>
      </w:r>
      <w:r w:rsidRPr="00C41984">
        <w:rPr>
          <w:rFonts w:ascii="Garamond" w:hAnsi="Garamond"/>
          <w:b/>
        </w:rPr>
        <w:t>Position Limits Regime for Commercial End-Users</w:t>
      </w:r>
    </w:p>
    <w:p w14:paraId="31BB5852" w14:textId="77777777" w:rsidR="001B644A" w:rsidRDefault="001B644A">
      <w:pPr>
        <w:jc w:val="both"/>
        <w:rPr>
          <w:rFonts w:ascii="Garamond" w:hAnsi="Garamond"/>
          <w:sz w:val="24"/>
          <w:szCs w:val="24"/>
        </w:rPr>
      </w:pPr>
    </w:p>
    <w:p w14:paraId="1E5C88EA" w14:textId="6E0ADE73" w:rsidR="003F4FE7" w:rsidRDefault="003F4FE7" w:rsidP="006E570C">
      <w:pPr>
        <w:ind w:firstLine="720"/>
        <w:jc w:val="both"/>
        <w:rPr>
          <w:rFonts w:ascii="Garamond" w:hAnsi="Garamond"/>
          <w:sz w:val="24"/>
          <w:szCs w:val="24"/>
        </w:rPr>
      </w:pPr>
      <w:r>
        <w:rPr>
          <w:rFonts w:ascii="Garamond" w:hAnsi="Garamond"/>
          <w:sz w:val="24"/>
          <w:szCs w:val="24"/>
        </w:rPr>
        <w:t xml:space="preserve">CMC members are concerned that the Supplemental Proposal would, by rule, negate a number of </w:t>
      </w:r>
      <w:r w:rsidR="00725A50">
        <w:rPr>
          <w:rFonts w:ascii="Garamond" w:hAnsi="Garamond"/>
          <w:sz w:val="24"/>
          <w:szCs w:val="24"/>
        </w:rPr>
        <w:t>NEBFH</w:t>
      </w:r>
      <w:r>
        <w:rPr>
          <w:rFonts w:ascii="Garamond" w:hAnsi="Garamond"/>
          <w:sz w:val="24"/>
          <w:szCs w:val="24"/>
        </w:rPr>
        <w:t xml:space="preserve"> exemptions that have existed for some time.  In so doing, the CFTC would seem to prohibit </w:t>
      </w:r>
      <w:proofErr w:type="gramStart"/>
      <w:r w:rsidR="002F13B8">
        <w:rPr>
          <w:rFonts w:ascii="Garamond" w:hAnsi="Garamond"/>
          <w:sz w:val="24"/>
          <w:szCs w:val="24"/>
        </w:rPr>
        <w:t xml:space="preserve">these </w:t>
      </w:r>
      <w:r>
        <w:rPr>
          <w:rFonts w:ascii="Garamond" w:hAnsi="Garamond"/>
          <w:sz w:val="24"/>
          <w:szCs w:val="24"/>
        </w:rPr>
        <w:t>exemption</w:t>
      </w:r>
      <w:proofErr w:type="gramEnd"/>
      <w:r>
        <w:rPr>
          <w:rFonts w:ascii="Garamond" w:hAnsi="Garamond"/>
          <w:sz w:val="24"/>
          <w:szCs w:val="24"/>
        </w:rPr>
        <w:t xml:space="preserve"> by rule without any process – except by formal rulemaking – for reconsideration.  We urge the Commission to adopt a process that would allow for a full review of existing exemptions for which the CFTC has expressed recent concern. </w:t>
      </w:r>
    </w:p>
    <w:p w14:paraId="5EFD39AB" w14:textId="77777777" w:rsidR="003F4FE7" w:rsidRDefault="003F4FE7">
      <w:pPr>
        <w:jc w:val="both"/>
        <w:rPr>
          <w:rFonts w:ascii="Garamond" w:hAnsi="Garamond"/>
          <w:sz w:val="24"/>
          <w:szCs w:val="24"/>
        </w:rPr>
      </w:pPr>
    </w:p>
    <w:p w14:paraId="1CE6161D" w14:textId="3204E128" w:rsidR="008C4B98" w:rsidRDefault="00A44E69" w:rsidP="00BC2A9B">
      <w:pPr>
        <w:ind w:firstLine="720"/>
        <w:jc w:val="both"/>
        <w:rPr>
          <w:rFonts w:ascii="Garamond" w:hAnsi="Garamond"/>
          <w:sz w:val="24"/>
          <w:szCs w:val="24"/>
        </w:rPr>
      </w:pPr>
      <w:r>
        <w:rPr>
          <w:rFonts w:ascii="Garamond" w:hAnsi="Garamond"/>
          <w:sz w:val="24"/>
          <w:szCs w:val="24"/>
        </w:rPr>
        <w:t>Going forward, a</w:t>
      </w:r>
      <w:r w:rsidR="001B644A">
        <w:rPr>
          <w:rFonts w:ascii="Garamond" w:hAnsi="Garamond"/>
          <w:sz w:val="24"/>
          <w:szCs w:val="24"/>
        </w:rPr>
        <w:t xml:space="preserve"> more prudent regulatory approach would be for the Commission to work with </w:t>
      </w:r>
      <w:r w:rsidR="00BC2A9B">
        <w:rPr>
          <w:rFonts w:ascii="Garamond" w:hAnsi="Garamond"/>
          <w:sz w:val="24"/>
          <w:szCs w:val="24"/>
        </w:rPr>
        <w:t xml:space="preserve">the </w:t>
      </w:r>
      <w:r w:rsidR="001B644A">
        <w:rPr>
          <w:rFonts w:ascii="Garamond" w:hAnsi="Garamond"/>
          <w:sz w:val="24"/>
          <w:szCs w:val="24"/>
        </w:rPr>
        <w:t xml:space="preserve">exchanges regarding a determination of future exemptions.  </w:t>
      </w:r>
      <w:r w:rsidR="009910C3">
        <w:rPr>
          <w:rFonts w:ascii="Garamond" w:hAnsi="Garamond"/>
          <w:sz w:val="24"/>
          <w:szCs w:val="24"/>
        </w:rPr>
        <w:t>For example, s</w:t>
      </w:r>
      <w:r w:rsidR="00C9255E" w:rsidRPr="00EF68F4">
        <w:rPr>
          <w:rFonts w:ascii="Garamond" w:hAnsi="Garamond"/>
          <w:sz w:val="24"/>
          <w:szCs w:val="24"/>
        </w:rPr>
        <w:t xml:space="preserve">hould the Commission decide to maintain its review of exchange granted </w:t>
      </w:r>
      <w:proofErr w:type="gramStart"/>
      <w:r w:rsidR="00C9255E" w:rsidRPr="00EF68F4">
        <w:rPr>
          <w:rFonts w:ascii="Garamond" w:hAnsi="Garamond"/>
          <w:sz w:val="24"/>
          <w:szCs w:val="24"/>
        </w:rPr>
        <w:t>exemptions,</w:t>
      </w:r>
      <w:proofErr w:type="gramEnd"/>
      <w:r w:rsidR="00C9255E" w:rsidRPr="00EF68F4">
        <w:rPr>
          <w:rFonts w:ascii="Garamond" w:hAnsi="Garamond"/>
          <w:sz w:val="24"/>
          <w:szCs w:val="24"/>
        </w:rPr>
        <w:t xml:space="preserve"> it should limit the time period to issue a decision to overturn an exemption.</w:t>
      </w:r>
      <w:r w:rsidR="00C9255E" w:rsidRPr="00C9255E">
        <w:rPr>
          <w:rFonts w:ascii="Garamond" w:hAnsi="Garamond"/>
          <w:sz w:val="24"/>
          <w:szCs w:val="24"/>
        </w:rPr>
        <w:t xml:space="preserve"> </w:t>
      </w:r>
      <w:r w:rsidR="00C9255E">
        <w:rPr>
          <w:rFonts w:ascii="Garamond" w:hAnsi="Garamond"/>
          <w:sz w:val="24"/>
          <w:szCs w:val="24"/>
        </w:rPr>
        <w:t xml:space="preserve"> </w:t>
      </w:r>
      <w:r w:rsidR="00194BFE">
        <w:rPr>
          <w:rFonts w:ascii="Garamond" w:hAnsi="Garamond"/>
          <w:sz w:val="24"/>
          <w:szCs w:val="24"/>
        </w:rPr>
        <w:t>Likewise</w:t>
      </w:r>
      <w:r w:rsidR="001B644A">
        <w:rPr>
          <w:rFonts w:ascii="Garamond" w:hAnsi="Garamond"/>
          <w:sz w:val="24"/>
          <w:szCs w:val="24"/>
        </w:rPr>
        <w:t xml:space="preserve">, the Commission should </w:t>
      </w:r>
      <w:r w:rsidR="00357F1B">
        <w:rPr>
          <w:rFonts w:ascii="Garamond" w:hAnsi="Garamond"/>
          <w:sz w:val="24"/>
          <w:szCs w:val="24"/>
        </w:rPr>
        <w:t>consider</w:t>
      </w:r>
      <w:r w:rsidR="001B644A">
        <w:rPr>
          <w:rFonts w:ascii="Garamond" w:hAnsi="Garamond"/>
          <w:sz w:val="24"/>
          <w:szCs w:val="24"/>
        </w:rPr>
        <w:t xml:space="preserve"> </w:t>
      </w:r>
      <w:r w:rsidR="00357F1B">
        <w:rPr>
          <w:rFonts w:ascii="Garamond" w:hAnsi="Garamond"/>
          <w:sz w:val="24"/>
          <w:szCs w:val="24"/>
        </w:rPr>
        <w:t>a</w:t>
      </w:r>
      <w:r w:rsidR="001B644A">
        <w:rPr>
          <w:rFonts w:ascii="Garamond" w:hAnsi="Garamond"/>
          <w:sz w:val="24"/>
          <w:szCs w:val="24"/>
        </w:rPr>
        <w:t xml:space="preserve"> meaningful process for commercial end-users to appeal </w:t>
      </w:r>
      <w:r w:rsidR="00F81A43">
        <w:rPr>
          <w:rFonts w:ascii="Garamond" w:hAnsi="Garamond"/>
          <w:sz w:val="24"/>
          <w:szCs w:val="24"/>
        </w:rPr>
        <w:t>the</w:t>
      </w:r>
      <w:r w:rsidR="001B644A">
        <w:rPr>
          <w:rFonts w:ascii="Garamond" w:hAnsi="Garamond"/>
          <w:sz w:val="24"/>
          <w:szCs w:val="24"/>
        </w:rPr>
        <w:t xml:space="preserve"> denial of an exchange granted hedge exemption. </w:t>
      </w:r>
      <w:r w:rsidR="006E226F">
        <w:rPr>
          <w:rFonts w:ascii="Garamond" w:hAnsi="Garamond"/>
          <w:sz w:val="24"/>
          <w:szCs w:val="24"/>
        </w:rPr>
        <w:t xml:space="preserve"> Moreover, t</w:t>
      </w:r>
      <w:r w:rsidR="009048FF">
        <w:rPr>
          <w:rFonts w:ascii="Garamond" w:hAnsi="Garamond"/>
          <w:sz w:val="24"/>
          <w:szCs w:val="24"/>
        </w:rPr>
        <w:t>he Commission should maintain the current exchange process of allowing market participants the ability to apply for a position limit exemption within a specified time after exceeding a limit to account f</w:t>
      </w:r>
      <w:r w:rsidR="006E226F">
        <w:rPr>
          <w:rFonts w:ascii="Garamond" w:hAnsi="Garamond"/>
          <w:sz w:val="24"/>
          <w:szCs w:val="24"/>
        </w:rPr>
        <w:t>or unforeseen hedging needs of the</w:t>
      </w:r>
      <w:r w:rsidR="009048FF">
        <w:rPr>
          <w:rFonts w:ascii="Garamond" w:hAnsi="Garamond"/>
          <w:sz w:val="24"/>
          <w:szCs w:val="24"/>
        </w:rPr>
        <w:t xml:space="preserve"> commercial enterprise. </w:t>
      </w:r>
    </w:p>
    <w:p w14:paraId="0E0C0285" w14:textId="77777777" w:rsidR="00D93171" w:rsidRDefault="00D93171">
      <w:pPr>
        <w:jc w:val="both"/>
        <w:rPr>
          <w:rFonts w:ascii="Garamond" w:hAnsi="Garamond"/>
          <w:sz w:val="24"/>
          <w:szCs w:val="24"/>
        </w:rPr>
      </w:pPr>
    </w:p>
    <w:p w14:paraId="22B7807C" w14:textId="2D4BB634" w:rsidR="008C4B98" w:rsidRDefault="00194BFE" w:rsidP="00BC2A9B">
      <w:pPr>
        <w:ind w:firstLine="720"/>
        <w:jc w:val="both"/>
        <w:rPr>
          <w:rFonts w:ascii="Garamond" w:hAnsi="Garamond"/>
          <w:sz w:val="24"/>
          <w:szCs w:val="24"/>
        </w:rPr>
      </w:pPr>
      <w:r>
        <w:rPr>
          <w:rFonts w:ascii="Garamond" w:hAnsi="Garamond"/>
          <w:sz w:val="24"/>
          <w:szCs w:val="24"/>
        </w:rPr>
        <w:t>In addition</w:t>
      </w:r>
      <w:r w:rsidR="001B644A">
        <w:rPr>
          <w:rFonts w:ascii="Garamond" w:hAnsi="Garamond"/>
          <w:sz w:val="24"/>
          <w:szCs w:val="24"/>
        </w:rPr>
        <w:t>, t</w:t>
      </w:r>
      <w:r w:rsidR="003D6939">
        <w:rPr>
          <w:rFonts w:ascii="Garamond" w:hAnsi="Garamond"/>
          <w:sz w:val="24"/>
          <w:szCs w:val="24"/>
        </w:rPr>
        <w:t xml:space="preserve">he Commission should remove the conditions that a contract be actively traded, and that </w:t>
      </w:r>
      <w:r w:rsidR="001B644A">
        <w:rPr>
          <w:rFonts w:ascii="Garamond" w:hAnsi="Garamond"/>
          <w:sz w:val="24"/>
          <w:szCs w:val="24"/>
        </w:rPr>
        <w:t>an</w:t>
      </w:r>
      <w:r w:rsidR="003D6939">
        <w:rPr>
          <w:rFonts w:ascii="Garamond" w:hAnsi="Garamond"/>
          <w:sz w:val="24"/>
          <w:szCs w:val="24"/>
        </w:rPr>
        <w:t xml:space="preserve"> exchange have at least one year of experience administering limits</w:t>
      </w:r>
      <w:r w:rsidR="001B644A">
        <w:rPr>
          <w:rFonts w:ascii="Garamond" w:hAnsi="Garamond"/>
          <w:sz w:val="24"/>
          <w:szCs w:val="24"/>
        </w:rPr>
        <w:t xml:space="preserve"> for a particular contract</w:t>
      </w:r>
      <w:r w:rsidR="003D6939">
        <w:rPr>
          <w:rFonts w:ascii="Garamond" w:hAnsi="Garamond"/>
          <w:sz w:val="24"/>
          <w:szCs w:val="24"/>
        </w:rPr>
        <w:t xml:space="preserve"> </w:t>
      </w:r>
      <w:r w:rsidR="00BF35A3">
        <w:rPr>
          <w:rFonts w:ascii="Garamond" w:hAnsi="Garamond"/>
          <w:sz w:val="24"/>
          <w:szCs w:val="24"/>
        </w:rPr>
        <w:t>in order for an exchange</w:t>
      </w:r>
      <w:r w:rsidR="003D6939">
        <w:rPr>
          <w:rFonts w:ascii="Garamond" w:hAnsi="Garamond"/>
          <w:sz w:val="24"/>
          <w:szCs w:val="24"/>
        </w:rPr>
        <w:t xml:space="preserve"> to grant </w:t>
      </w:r>
      <w:r w:rsidR="00B26D83">
        <w:rPr>
          <w:rFonts w:ascii="Garamond" w:hAnsi="Garamond"/>
          <w:sz w:val="24"/>
          <w:szCs w:val="24"/>
        </w:rPr>
        <w:t xml:space="preserve">a </w:t>
      </w:r>
      <w:r w:rsidR="003D6939">
        <w:rPr>
          <w:rFonts w:ascii="Garamond" w:hAnsi="Garamond"/>
          <w:sz w:val="24"/>
          <w:szCs w:val="24"/>
        </w:rPr>
        <w:t>NEBFH, spread, or</w:t>
      </w:r>
      <w:r w:rsidR="001B644A">
        <w:rPr>
          <w:rFonts w:ascii="Garamond" w:hAnsi="Garamond"/>
          <w:sz w:val="24"/>
          <w:szCs w:val="24"/>
        </w:rPr>
        <w:t xml:space="preserve"> anticipatory hedge exemption.</w:t>
      </w:r>
      <w:r w:rsidR="001304B7">
        <w:rPr>
          <w:rStyle w:val="FootnoteReference"/>
          <w:rFonts w:ascii="Garamond" w:hAnsi="Garamond"/>
          <w:sz w:val="24"/>
          <w:szCs w:val="24"/>
        </w:rPr>
        <w:footnoteReference w:id="6"/>
      </w:r>
      <w:r w:rsidR="001B644A">
        <w:rPr>
          <w:rFonts w:ascii="Garamond" w:hAnsi="Garamond"/>
          <w:sz w:val="24"/>
          <w:szCs w:val="24"/>
        </w:rPr>
        <w:t xml:space="preserve">  </w:t>
      </w:r>
      <w:r w:rsidR="00BF35A3">
        <w:rPr>
          <w:rFonts w:ascii="Garamond" w:hAnsi="Garamond"/>
          <w:sz w:val="24"/>
          <w:szCs w:val="24"/>
        </w:rPr>
        <w:t xml:space="preserve">These restrictions </w:t>
      </w:r>
      <w:r w:rsidR="003D6939">
        <w:rPr>
          <w:rFonts w:ascii="Garamond" w:hAnsi="Garamond"/>
          <w:sz w:val="24"/>
          <w:szCs w:val="24"/>
        </w:rPr>
        <w:t xml:space="preserve">are not authorized by the </w:t>
      </w:r>
      <w:r w:rsidR="009F3F0D">
        <w:rPr>
          <w:rFonts w:ascii="Garamond" w:hAnsi="Garamond"/>
          <w:sz w:val="24"/>
          <w:szCs w:val="24"/>
        </w:rPr>
        <w:t>Commodity Exchange Act (“</w:t>
      </w:r>
      <w:r w:rsidR="003D6939">
        <w:rPr>
          <w:rFonts w:ascii="Garamond" w:hAnsi="Garamond"/>
          <w:sz w:val="24"/>
          <w:szCs w:val="24"/>
        </w:rPr>
        <w:t>CEA</w:t>
      </w:r>
      <w:r w:rsidR="009F3F0D">
        <w:rPr>
          <w:rFonts w:ascii="Garamond" w:hAnsi="Garamond"/>
          <w:sz w:val="24"/>
          <w:szCs w:val="24"/>
        </w:rPr>
        <w:t>”</w:t>
      </w:r>
      <w:r w:rsidR="00063F48">
        <w:rPr>
          <w:rFonts w:ascii="Garamond" w:hAnsi="Garamond"/>
          <w:sz w:val="24"/>
          <w:szCs w:val="24"/>
        </w:rPr>
        <w:t xml:space="preserve"> or the “Act”</w:t>
      </w:r>
      <w:r w:rsidR="009F3F0D">
        <w:rPr>
          <w:rFonts w:ascii="Garamond" w:hAnsi="Garamond"/>
          <w:sz w:val="24"/>
          <w:szCs w:val="24"/>
        </w:rPr>
        <w:t>)</w:t>
      </w:r>
      <w:r w:rsidR="003D6939">
        <w:rPr>
          <w:rFonts w:ascii="Garamond" w:hAnsi="Garamond"/>
          <w:sz w:val="24"/>
          <w:szCs w:val="24"/>
        </w:rPr>
        <w:t>, create barriers to entry for new exchanges, and discourage the listing of new contracts on existing exchanges.</w:t>
      </w:r>
      <w:r w:rsidR="00A44E69">
        <w:rPr>
          <w:rFonts w:ascii="Garamond" w:hAnsi="Garamond"/>
          <w:sz w:val="24"/>
          <w:szCs w:val="24"/>
        </w:rPr>
        <w:t xml:space="preserve">  </w:t>
      </w:r>
      <w:r w:rsidR="006E226F">
        <w:rPr>
          <w:rFonts w:ascii="Garamond" w:hAnsi="Garamond"/>
          <w:sz w:val="24"/>
          <w:szCs w:val="24"/>
        </w:rPr>
        <w:t>For commercial end-users, i</w:t>
      </w:r>
      <w:r w:rsidR="00A44E69">
        <w:rPr>
          <w:rFonts w:ascii="Garamond" w:hAnsi="Garamond"/>
          <w:sz w:val="24"/>
          <w:szCs w:val="24"/>
        </w:rPr>
        <w:t xml:space="preserve">t is </w:t>
      </w:r>
      <w:r w:rsidR="003B031D">
        <w:rPr>
          <w:rFonts w:ascii="Garamond" w:hAnsi="Garamond"/>
          <w:sz w:val="24"/>
          <w:szCs w:val="24"/>
        </w:rPr>
        <w:t xml:space="preserve">especially </w:t>
      </w:r>
      <w:r w:rsidR="00A44E69">
        <w:rPr>
          <w:rFonts w:ascii="Garamond" w:hAnsi="Garamond"/>
          <w:sz w:val="24"/>
          <w:szCs w:val="24"/>
        </w:rPr>
        <w:t xml:space="preserve">important </w:t>
      </w:r>
      <w:r w:rsidR="006E226F">
        <w:rPr>
          <w:rFonts w:ascii="Garamond" w:hAnsi="Garamond"/>
          <w:sz w:val="24"/>
          <w:szCs w:val="24"/>
        </w:rPr>
        <w:t>for</w:t>
      </w:r>
      <w:r w:rsidR="00A44E69">
        <w:rPr>
          <w:rFonts w:ascii="Garamond" w:hAnsi="Garamond"/>
          <w:sz w:val="24"/>
          <w:szCs w:val="24"/>
        </w:rPr>
        <w:t xml:space="preserve"> the Commission </w:t>
      </w:r>
      <w:r w:rsidR="00BB749F">
        <w:rPr>
          <w:rFonts w:ascii="Garamond" w:hAnsi="Garamond"/>
          <w:sz w:val="24"/>
          <w:szCs w:val="24"/>
        </w:rPr>
        <w:t xml:space="preserve">to </w:t>
      </w:r>
      <w:r w:rsidR="00A44E69">
        <w:rPr>
          <w:rFonts w:ascii="Garamond" w:hAnsi="Garamond"/>
          <w:sz w:val="24"/>
          <w:szCs w:val="24"/>
        </w:rPr>
        <w:t xml:space="preserve">recognize that if there is a justifiable business need to hedge a new product in excess of federally mandated speculative position limits, </w:t>
      </w:r>
      <w:r w:rsidR="00AE653D">
        <w:rPr>
          <w:rFonts w:ascii="Garamond" w:hAnsi="Garamond"/>
          <w:sz w:val="24"/>
          <w:szCs w:val="24"/>
        </w:rPr>
        <w:t xml:space="preserve">it </w:t>
      </w:r>
      <w:r w:rsidR="00A44E69">
        <w:rPr>
          <w:rFonts w:ascii="Garamond" w:hAnsi="Garamond"/>
          <w:sz w:val="24"/>
          <w:szCs w:val="24"/>
        </w:rPr>
        <w:t xml:space="preserve">should not impose an absolute </w:t>
      </w:r>
      <w:r w:rsidR="00AE653D">
        <w:rPr>
          <w:rFonts w:ascii="Garamond" w:hAnsi="Garamond"/>
          <w:sz w:val="24"/>
          <w:szCs w:val="24"/>
        </w:rPr>
        <w:t>prohibition</w:t>
      </w:r>
      <w:r w:rsidR="00A44E69">
        <w:rPr>
          <w:rFonts w:ascii="Garamond" w:hAnsi="Garamond"/>
          <w:sz w:val="24"/>
          <w:szCs w:val="24"/>
        </w:rPr>
        <w:t xml:space="preserve"> on such </w:t>
      </w:r>
      <w:r w:rsidR="00467C7A">
        <w:rPr>
          <w:rFonts w:ascii="Garamond" w:hAnsi="Garamond"/>
          <w:sz w:val="24"/>
          <w:szCs w:val="24"/>
        </w:rPr>
        <w:t xml:space="preserve">a </w:t>
      </w:r>
      <w:r w:rsidR="00A44E69">
        <w:rPr>
          <w:rFonts w:ascii="Garamond" w:hAnsi="Garamond"/>
          <w:sz w:val="24"/>
          <w:szCs w:val="24"/>
        </w:rPr>
        <w:t>practice.  The exchanges</w:t>
      </w:r>
      <w:r w:rsidR="00AE653D">
        <w:rPr>
          <w:rFonts w:ascii="Garamond" w:hAnsi="Garamond"/>
          <w:sz w:val="24"/>
          <w:szCs w:val="24"/>
        </w:rPr>
        <w:t>, with their expertise,</w:t>
      </w:r>
      <w:r w:rsidR="00A44E69">
        <w:rPr>
          <w:rFonts w:ascii="Garamond" w:hAnsi="Garamond"/>
          <w:sz w:val="24"/>
          <w:szCs w:val="24"/>
        </w:rPr>
        <w:t xml:space="preserve"> can make a prudent decision as to whether an exemption is warranted.</w:t>
      </w:r>
      <w:r w:rsidR="00914C85">
        <w:rPr>
          <w:rFonts w:ascii="Garamond" w:hAnsi="Garamond"/>
          <w:sz w:val="24"/>
          <w:szCs w:val="24"/>
        </w:rPr>
        <w:t xml:space="preserve"> </w:t>
      </w:r>
    </w:p>
    <w:p w14:paraId="2B151AF3" w14:textId="77777777" w:rsidR="004F2759" w:rsidRDefault="004F2759" w:rsidP="00CA225A">
      <w:pPr>
        <w:jc w:val="both"/>
        <w:rPr>
          <w:rFonts w:ascii="Garamond" w:hAnsi="Garamond"/>
          <w:sz w:val="24"/>
          <w:szCs w:val="24"/>
        </w:rPr>
      </w:pPr>
    </w:p>
    <w:p w14:paraId="0EDAF046" w14:textId="69339704" w:rsidR="00194BFE" w:rsidRPr="00C41984" w:rsidRDefault="00194BFE" w:rsidP="00BC2A9B">
      <w:pPr>
        <w:ind w:firstLine="720"/>
        <w:jc w:val="both"/>
        <w:rPr>
          <w:rFonts w:ascii="Garamond" w:hAnsi="Garamond"/>
          <w:sz w:val="24"/>
          <w:szCs w:val="24"/>
        </w:rPr>
      </w:pPr>
      <w:r w:rsidRPr="00C41984">
        <w:rPr>
          <w:rFonts w:ascii="Garamond" w:hAnsi="Garamond"/>
          <w:sz w:val="24"/>
          <w:szCs w:val="24"/>
        </w:rPr>
        <w:t xml:space="preserve">Furthermore, </w:t>
      </w:r>
      <w:r w:rsidR="00063F48" w:rsidRPr="00C41984">
        <w:rPr>
          <w:rFonts w:ascii="Garamond" w:hAnsi="Garamond"/>
          <w:sz w:val="24"/>
          <w:szCs w:val="24"/>
        </w:rPr>
        <w:t xml:space="preserve">the </w:t>
      </w:r>
      <w:r w:rsidR="00BC2A9B">
        <w:rPr>
          <w:rFonts w:ascii="Garamond" w:hAnsi="Garamond"/>
          <w:sz w:val="24"/>
          <w:szCs w:val="24"/>
        </w:rPr>
        <w:t>final position limits rule</w:t>
      </w:r>
      <w:r w:rsidR="00063F48" w:rsidRPr="00C41984">
        <w:rPr>
          <w:rFonts w:ascii="Garamond" w:hAnsi="Garamond"/>
          <w:sz w:val="24"/>
          <w:szCs w:val="24"/>
        </w:rPr>
        <w:t xml:space="preserve"> should</w:t>
      </w:r>
      <w:r w:rsidR="00063F48">
        <w:rPr>
          <w:rFonts w:ascii="Garamond" w:hAnsi="Garamond"/>
          <w:sz w:val="24"/>
          <w:szCs w:val="24"/>
        </w:rPr>
        <w:t xml:space="preserve">, as proposed in the Supplemental Proposal, </w:t>
      </w:r>
      <w:r w:rsidR="00B26D83">
        <w:rPr>
          <w:rFonts w:ascii="Garamond" w:hAnsi="Garamond"/>
          <w:sz w:val="24"/>
          <w:szCs w:val="24"/>
        </w:rPr>
        <w:t xml:space="preserve">provide </w:t>
      </w:r>
      <w:r w:rsidR="00063F48">
        <w:rPr>
          <w:rFonts w:ascii="Garamond" w:hAnsi="Garamond"/>
          <w:sz w:val="24"/>
          <w:szCs w:val="24"/>
        </w:rPr>
        <w:t xml:space="preserve">that </w:t>
      </w:r>
      <w:r w:rsidR="00BC2A9B">
        <w:rPr>
          <w:rFonts w:ascii="Garamond" w:hAnsi="Garamond"/>
          <w:sz w:val="24"/>
          <w:szCs w:val="24"/>
        </w:rPr>
        <w:t xml:space="preserve">the Commission </w:t>
      </w:r>
      <w:r w:rsidR="00063F48">
        <w:rPr>
          <w:rFonts w:ascii="Garamond" w:hAnsi="Garamond"/>
          <w:sz w:val="24"/>
          <w:szCs w:val="24"/>
        </w:rPr>
        <w:t>w</w:t>
      </w:r>
      <w:r w:rsidR="00B26D83">
        <w:rPr>
          <w:rFonts w:ascii="Garamond" w:hAnsi="Garamond"/>
          <w:sz w:val="24"/>
          <w:szCs w:val="24"/>
        </w:rPr>
        <w:t>ill</w:t>
      </w:r>
      <w:r w:rsidR="00063F48">
        <w:rPr>
          <w:rFonts w:ascii="Garamond" w:hAnsi="Garamond"/>
          <w:sz w:val="24"/>
          <w:szCs w:val="24"/>
        </w:rPr>
        <w:t xml:space="preserve"> not delegate to the Director of the Division of Market Oversight (</w:t>
      </w:r>
      <w:r w:rsidR="00D8081A">
        <w:rPr>
          <w:rFonts w:ascii="Garamond" w:hAnsi="Garamond"/>
          <w:sz w:val="24"/>
          <w:szCs w:val="24"/>
        </w:rPr>
        <w:t>“</w:t>
      </w:r>
      <w:r w:rsidR="00063F48">
        <w:rPr>
          <w:rFonts w:ascii="Garamond" w:hAnsi="Garamond"/>
          <w:sz w:val="24"/>
          <w:szCs w:val="24"/>
        </w:rPr>
        <w:t>DMO</w:t>
      </w:r>
      <w:r w:rsidR="00D8081A">
        <w:rPr>
          <w:rFonts w:ascii="Garamond" w:hAnsi="Garamond"/>
          <w:sz w:val="24"/>
          <w:szCs w:val="24"/>
        </w:rPr>
        <w:t>”</w:t>
      </w:r>
      <w:r w:rsidR="00063F48">
        <w:rPr>
          <w:rFonts w:ascii="Garamond" w:hAnsi="Garamond"/>
          <w:sz w:val="24"/>
          <w:szCs w:val="24"/>
        </w:rPr>
        <w:t xml:space="preserve">) or its staff, the authority to make a final determination as to the exchange’s disposition </w:t>
      </w:r>
      <w:r w:rsidR="00B26D83">
        <w:rPr>
          <w:rFonts w:ascii="Garamond" w:hAnsi="Garamond"/>
          <w:sz w:val="24"/>
          <w:szCs w:val="24"/>
        </w:rPr>
        <w:t>even</w:t>
      </w:r>
      <w:r w:rsidR="00063F48">
        <w:rPr>
          <w:rFonts w:ascii="Garamond" w:hAnsi="Garamond"/>
          <w:sz w:val="24"/>
          <w:szCs w:val="24"/>
        </w:rPr>
        <w:t xml:space="preserve"> if the disposition raises concerns regarding consistency of the Act or presents a novel or complex issue.</w:t>
      </w:r>
      <w:r w:rsidR="00063F48">
        <w:rPr>
          <w:rStyle w:val="FootnoteReference"/>
          <w:rFonts w:ascii="Garamond" w:hAnsi="Garamond"/>
          <w:sz w:val="24"/>
          <w:szCs w:val="24"/>
        </w:rPr>
        <w:footnoteReference w:id="7"/>
      </w:r>
      <w:r w:rsidR="00063F48">
        <w:rPr>
          <w:rFonts w:ascii="Garamond" w:hAnsi="Garamond"/>
          <w:sz w:val="24"/>
          <w:szCs w:val="24"/>
        </w:rPr>
        <w:t xml:space="preserve">  </w:t>
      </w:r>
      <w:r w:rsidR="00A03C63">
        <w:rPr>
          <w:rFonts w:ascii="Garamond" w:hAnsi="Garamond"/>
          <w:sz w:val="24"/>
          <w:szCs w:val="24"/>
        </w:rPr>
        <w:t>If</w:t>
      </w:r>
      <w:r w:rsidR="00063F48">
        <w:rPr>
          <w:rFonts w:ascii="Garamond" w:hAnsi="Garamond"/>
          <w:sz w:val="24"/>
          <w:szCs w:val="24"/>
        </w:rPr>
        <w:t xml:space="preserve"> the Commission determine</w:t>
      </w:r>
      <w:r w:rsidR="00A03C63">
        <w:rPr>
          <w:rFonts w:ascii="Garamond" w:hAnsi="Garamond"/>
          <w:sz w:val="24"/>
          <w:szCs w:val="24"/>
        </w:rPr>
        <w:t>s</w:t>
      </w:r>
      <w:r w:rsidR="00063F48">
        <w:rPr>
          <w:rFonts w:ascii="Garamond" w:hAnsi="Garamond"/>
          <w:sz w:val="24"/>
          <w:szCs w:val="24"/>
        </w:rPr>
        <w:t xml:space="preserve"> that it is not appropriate to recognize a commodity derivatives posit</w:t>
      </w:r>
      <w:r w:rsidR="00627304">
        <w:rPr>
          <w:rFonts w:ascii="Garamond" w:hAnsi="Garamond"/>
          <w:sz w:val="24"/>
          <w:szCs w:val="24"/>
        </w:rPr>
        <w:t>ion as an enumerated anticipatory</w:t>
      </w:r>
      <w:r w:rsidR="00063F48">
        <w:rPr>
          <w:rFonts w:ascii="Garamond" w:hAnsi="Garamond"/>
          <w:sz w:val="24"/>
          <w:szCs w:val="24"/>
        </w:rPr>
        <w:t xml:space="preserve"> </w:t>
      </w:r>
      <w:r w:rsidR="00063F48">
        <w:rPr>
          <w:rFonts w:ascii="Garamond" w:hAnsi="Garamond"/>
          <w:i/>
          <w:sz w:val="24"/>
          <w:szCs w:val="24"/>
        </w:rPr>
        <w:t xml:space="preserve">bona fide </w:t>
      </w:r>
      <w:r w:rsidR="00D53C0D">
        <w:rPr>
          <w:rFonts w:ascii="Garamond" w:hAnsi="Garamond"/>
          <w:sz w:val="24"/>
          <w:szCs w:val="24"/>
        </w:rPr>
        <w:t>hedge, NEBFH, or</w:t>
      </w:r>
      <w:r w:rsidR="00063F48">
        <w:rPr>
          <w:rFonts w:ascii="Garamond" w:hAnsi="Garamond"/>
          <w:sz w:val="24"/>
          <w:szCs w:val="24"/>
        </w:rPr>
        <w:t xml:space="preserve"> spread exemption, the ultimate decision </w:t>
      </w:r>
      <w:r w:rsidR="00876B32">
        <w:rPr>
          <w:rFonts w:ascii="Garamond" w:hAnsi="Garamond"/>
          <w:sz w:val="24"/>
          <w:szCs w:val="24"/>
        </w:rPr>
        <w:t xml:space="preserve">on whether to repeal an exchange granted exemption </w:t>
      </w:r>
      <w:r w:rsidR="00063F48">
        <w:rPr>
          <w:rFonts w:ascii="Garamond" w:hAnsi="Garamond"/>
          <w:sz w:val="24"/>
          <w:szCs w:val="24"/>
        </w:rPr>
        <w:t>should be</w:t>
      </w:r>
      <w:r w:rsidR="00D713CC">
        <w:rPr>
          <w:rFonts w:ascii="Garamond" w:hAnsi="Garamond"/>
          <w:sz w:val="24"/>
          <w:szCs w:val="24"/>
        </w:rPr>
        <w:t xml:space="preserve"> made</w:t>
      </w:r>
      <w:r w:rsidR="00063F48">
        <w:rPr>
          <w:rFonts w:ascii="Garamond" w:hAnsi="Garamond"/>
          <w:sz w:val="24"/>
          <w:szCs w:val="24"/>
        </w:rPr>
        <w:t xml:space="preserve"> through a vote of the Commission</w:t>
      </w:r>
      <w:r w:rsidR="00876B32">
        <w:rPr>
          <w:rFonts w:ascii="Garamond" w:hAnsi="Garamond"/>
          <w:sz w:val="24"/>
          <w:szCs w:val="24"/>
        </w:rPr>
        <w:t xml:space="preserve"> a</w:t>
      </w:r>
      <w:r w:rsidR="00627304">
        <w:rPr>
          <w:rFonts w:ascii="Garamond" w:hAnsi="Garamond"/>
          <w:sz w:val="24"/>
          <w:szCs w:val="24"/>
        </w:rPr>
        <w:t xml:space="preserve">fter proper notice and comment </w:t>
      </w:r>
      <w:r w:rsidR="00910313">
        <w:rPr>
          <w:rFonts w:ascii="Garamond" w:hAnsi="Garamond"/>
          <w:sz w:val="24"/>
          <w:szCs w:val="24"/>
        </w:rPr>
        <w:t>procedures</w:t>
      </w:r>
      <w:r w:rsidR="00876B32">
        <w:rPr>
          <w:rFonts w:ascii="Garamond" w:hAnsi="Garamond"/>
          <w:sz w:val="24"/>
          <w:szCs w:val="24"/>
        </w:rPr>
        <w:t>.</w:t>
      </w:r>
      <w:r w:rsidR="00063F48">
        <w:rPr>
          <w:rStyle w:val="FootnoteReference"/>
          <w:rFonts w:ascii="Garamond" w:hAnsi="Garamond"/>
          <w:sz w:val="24"/>
          <w:szCs w:val="24"/>
        </w:rPr>
        <w:footnoteReference w:id="8"/>
      </w:r>
      <w:r w:rsidR="00876B32">
        <w:rPr>
          <w:rFonts w:ascii="Garamond" w:hAnsi="Garamond"/>
          <w:sz w:val="24"/>
          <w:szCs w:val="24"/>
        </w:rPr>
        <w:t xml:space="preserve">  The final position limits rule</w:t>
      </w:r>
      <w:r w:rsidR="00357F1B">
        <w:rPr>
          <w:rFonts w:ascii="Garamond" w:hAnsi="Garamond"/>
          <w:sz w:val="24"/>
          <w:szCs w:val="24"/>
        </w:rPr>
        <w:t xml:space="preserve"> </w:t>
      </w:r>
      <w:r w:rsidR="00876B32">
        <w:rPr>
          <w:rFonts w:ascii="Garamond" w:hAnsi="Garamond"/>
          <w:sz w:val="24"/>
          <w:szCs w:val="24"/>
        </w:rPr>
        <w:t xml:space="preserve">should also certify that this part of the rule </w:t>
      </w:r>
      <w:proofErr w:type="gramStart"/>
      <w:r w:rsidR="00910313">
        <w:rPr>
          <w:rFonts w:ascii="Garamond" w:hAnsi="Garamond"/>
          <w:sz w:val="24"/>
          <w:szCs w:val="24"/>
        </w:rPr>
        <w:t>will</w:t>
      </w:r>
      <w:proofErr w:type="gramEnd"/>
      <w:r w:rsidR="00910313">
        <w:rPr>
          <w:rFonts w:ascii="Garamond" w:hAnsi="Garamond"/>
          <w:sz w:val="24"/>
          <w:szCs w:val="24"/>
        </w:rPr>
        <w:t xml:space="preserve"> not</w:t>
      </w:r>
      <w:r w:rsidR="00876B32">
        <w:rPr>
          <w:rFonts w:ascii="Garamond" w:hAnsi="Garamond"/>
          <w:sz w:val="24"/>
          <w:szCs w:val="24"/>
        </w:rPr>
        <w:t xml:space="preserve"> be delegated</w:t>
      </w:r>
      <w:r w:rsidR="00C93983">
        <w:rPr>
          <w:rFonts w:ascii="Garamond" w:hAnsi="Garamond"/>
          <w:sz w:val="24"/>
          <w:szCs w:val="24"/>
        </w:rPr>
        <w:t xml:space="preserve"> to CFTC staff</w:t>
      </w:r>
      <w:r w:rsidR="00876B32">
        <w:rPr>
          <w:rFonts w:ascii="Garamond" w:hAnsi="Garamond"/>
          <w:sz w:val="24"/>
          <w:szCs w:val="24"/>
        </w:rPr>
        <w:t xml:space="preserve">. </w:t>
      </w:r>
      <w:r w:rsidR="00F56C70">
        <w:rPr>
          <w:rFonts w:ascii="Garamond" w:hAnsi="Garamond"/>
          <w:sz w:val="24"/>
          <w:szCs w:val="24"/>
        </w:rPr>
        <w:t xml:space="preserve"> </w:t>
      </w:r>
    </w:p>
    <w:p w14:paraId="13B1CCDF" w14:textId="77777777" w:rsidR="00BC0B3F" w:rsidRDefault="00BC0B3F" w:rsidP="00CA225A">
      <w:pPr>
        <w:jc w:val="both"/>
        <w:rPr>
          <w:rFonts w:ascii="Garamond" w:hAnsi="Garamond"/>
          <w:sz w:val="24"/>
          <w:szCs w:val="24"/>
        </w:rPr>
      </w:pPr>
    </w:p>
    <w:p w14:paraId="46EE9C22" w14:textId="28C6E5E6" w:rsidR="00CA225A" w:rsidRDefault="00B26D83" w:rsidP="00BC2A9B">
      <w:pPr>
        <w:ind w:firstLine="720"/>
        <w:jc w:val="both"/>
        <w:rPr>
          <w:rFonts w:ascii="Garamond" w:hAnsi="Garamond"/>
          <w:sz w:val="24"/>
          <w:szCs w:val="24"/>
        </w:rPr>
      </w:pPr>
      <w:r>
        <w:rPr>
          <w:rFonts w:ascii="Garamond" w:hAnsi="Garamond"/>
          <w:sz w:val="24"/>
          <w:szCs w:val="24"/>
        </w:rPr>
        <w:t xml:space="preserve">In the </w:t>
      </w:r>
      <w:r w:rsidR="00257E78">
        <w:rPr>
          <w:rFonts w:ascii="Garamond" w:hAnsi="Garamond"/>
          <w:sz w:val="24"/>
          <w:szCs w:val="24"/>
        </w:rPr>
        <w:t>following comments</w:t>
      </w:r>
      <w:r>
        <w:rPr>
          <w:rFonts w:ascii="Garamond" w:hAnsi="Garamond"/>
          <w:sz w:val="24"/>
          <w:szCs w:val="24"/>
        </w:rPr>
        <w:t>,</w:t>
      </w:r>
      <w:r w:rsidR="00257E78">
        <w:rPr>
          <w:rFonts w:ascii="Garamond" w:hAnsi="Garamond"/>
          <w:sz w:val="24"/>
          <w:szCs w:val="24"/>
        </w:rPr>
        <w:t xml:space="preserve"> </w:t>
      </w:r>
      <w:r>
        <w:rPr>
          <w:rFonts w:ascii="Garamond" w:hAnsi="Garamond"/>
          <w:sz w:val="24"/>
          <w:szCs w:val="24"/>
        </w:rPr>
        <w:t>CMC</w:t>
      </w:r>
      <w:r w:rsidR="00257E78">
        <w:rPr>
          <w:rFonts w:ascii="Garamond" w:hAnsi="Garamond"/>
          <w:sz w:val="24"/>
          <w:szCs w:val="24"/>
        </w:rPr>
        <w:t xml:space="preserve"> </w:t>
      </w:r>
      <w:r w:rsidR="00357F1B">
        <w:rPr>
          <w:rFonts w:ascii="Garamond" w:hAnsi="Garamond"/>
          <w:sz w:val="24"/>
          <w:szCs w:val="24"/>
        </w:rPr>
        <w:t xml:space="preserve">request </w:t>
      </w:r>
      <w:r w:rsidR="00257E78">
        <w:rPr>
          <w:rFonts w:ascii="Garamond" w:hAnsi="Garamond"/>
          <w:sz w:val="24"/>
          <w:szCs w:val="24"/>
        </w:rPr>
        <w:t xml:space="preserve">modifications to the Supplemental Proposal that will </w:t>
      </w:r>
      <w:r>
        <w:rPr>
          <w:rFonts w:ascii="Garamond" w:hAnsi="Garamond"/>
          <w:sz w:val="24"/>
          <w:szCs w:val="24"/>
        </w:rPr>
        <w:t>establish</w:t>
      </w:r>
      <w:r w:rsidR="00257E78">
        <w:rPr>
          <w:rFonts w:ascii="Garamond" w:hAnsi="Garamond"/>
          <w:sz w:val="24"/>
          <w:szCs w:val="24"/>
        </w:rPr>
        <w:t xml:space="preserve"> the most efficient and effective position limits regime.</w:t>
      </w:r>
      <w:r w:rsidR="00092342" w:rsidRPr="00092342">
        <w:rPr>
          <w:rFonts w:ascii="Garamond" w:hAnsi="Garamond"/>
          <w:sz w:val="24"/>
          <w:szCs w:val="24"/>
        </w:rPr>
        <w:t xml:space="preserve"> </w:t>
      </w:r>
      <w:r w:rsidR="00092342">
        <w:rPr>
          <w:rFonts w:ascii="Garamond" w:hAnsi="Garamond"/>
          <w:sz w:val="24"/>
          <w:szCs w:val="24"/>
        </w:rPr>
        <w:t xml:space="preserve"> </w:t>
      </w:r>
      <w:r w:rsidR="006123B4" w:rsidRPr="001A5904">
        <w:rPr>
          <w:rFonts w:ascii="Garamond" w:hAnsi="Garamond"/>
          <w:sz w:val="24"/>
          <w:szCs w:val="24"/>
        </w:rPr>
        <w:t>This comment letter</w:t>
      </w:r>
      <w:r w:rsidR="00092342" w:rsidRPr="001A5904">
        <w:rPr>
          <w:rFonts w:ascii="Garamond" w:hAnsi="Garamond"/>
          <w:sz w:val="24"/>
          <w:szCs w:val="24"/>
        </w:rPr>
        <w:t xml:space="preserve"> also </w:t>
      </w:r>
      <w:r w:rsidR="00092342" w:rsidRPr="001A5904">
        <w:rPr>
          <w:rFonts w:ascii="Garamond" w:hAnsi="Garamond"/>
          <w:sz w:val="24"/>
          <w:szCs w:val="24"/>
        </w:rPr>
        <w:lastRenderedPageBreak/>
        <w:t>reiterate</w:t>
      </w:r>
      <w:r w:rsidR="006123B4" w:rsidRPr="001A5904">
        <w:rPr>
          <w:rFonts w:ascii="Garamond" w:hAnsi="Garamond"/>
          <w:sz w:val="24"/>
          <w:szCs w:val="24"/>
        </w:rPr>
        <w:t>s</w:t>
      </w:r>
      <w:r w:rsidR="00092342" w:rsidRPr="001A5904">
        <w:rPr>
          <w:rFonts w:ascii="Garamond" w:hAnsi="Garamond"/>
          <w:sz w:val="24"/>
          <w:szCs w:val="24"/>
        </w:rPr>
        <w:t xml:space="preserve"> some of the previous comments </w:t>
      </w:r>
      <w:r w:rsidR="006123B4" w:rsidRPr="001A5904">
        <w:rPr>
          <w:rFonts w:ascii="Garamond" w:hAnsi="Garamond"/>
          <w:sz w:val="24"/>
          <w:szCs w:val="24"/>
        </w:rPr>
        <w:t xml:space="preserve">raised by CMC </w:t>
      </w:r>
      <w:r w:rsidR="00951D60" w:rsidRPr="001A5904">
        <w:rPr>
          <w:rFonts w:ascii="Garamond" w:hAnsi="Garamond"/>
          <w:sz w:val="24"/>
          <w:szCs w:val="24"/>
        </w:rPr>
        <w:t xml:space="preserve">that are </w:t>
      </w:r>
      <w:r w:rsidR="00C06434" w:rsidRPr="001A5904">
        <w:rPr>
          <w:rFonts w:ascii="Garamond" w:hAnsi="Garamond"/>
          <w:sz w:val="24"/>
          <w:szCs w:val="24"/>
        </w:rPr>
        <w:t>most vital for</w:t>
      </w:r>
      <w:r w:rsidR="00951D60" w:rsidRPr="001A5904">
        <w:rPr>
          <w:rFonts w:ascii="Garamond" w:hAnsi="Garamond"/>
          <w:sz w:val="24"/>
          <w:szCs w:val="24"/>
        </w:rPr>
        <w:t xml:space="preserve"> our members </w:t>
      </w:r>
      <w:r w:rsidR="00A70CD9" w:rsidRPr="001A5904">
        <w:rPr>
          <w:rFonts w:ascii="Garamond" w:hAnsi="Garamond"/>
          <w:sz w:val="24"/>
          <w:szCs w:val="24"/>
        </w:rPr>
        <w:t>that</w:t>
      </w:r>
      <w:r w:rsidR="00C06434" w:rsidRPr="001A5904">
        <w:rPr>
          <w:rFonts w:ascii="Garamond" w:hAnsi="Garamond"/>
          <w:sz w:val="24"/>
          <w:szCs w:val="24"/>
        </w:rPr>
        <w:t xml:space="preserve"> utilize the commodity derivatives markets to manage everyday business risk.</w:t>
      </w:r>
      <w:r w:rsidR="00EB7F3A">
        <w:rPr>
          <w:rStyle w:val="FootnoteReference"/>
          <w:rFonts w:ascii="Garamond" w:hAnsi="Garamond"/>
          <w:sz w:val="24"/>
          <w:szCs w:val="24"/>
        </w:rPr>
        <w:footnoteReference w:id="9"/>
      </w:r>
    </w:p>
    <w:p w14:paraId="3647A84A" w14:textId="77777777" w:rsidR="00257E78" w:rsidRPr="00715C6E" w:rsidRDefault="00257E78" w:rsidP="00CA225A">
      <w:pPr>
        <w:jc w:val="both"/>
        <w:rPr>
          <w:rFonts w:ascii="Garamond" w:hAnsi="Garamond"/>
          <w:b/>
        </w:rPr>
      </w:pPr>
    </w:p>
    <w:p w14:paraId="4AE8A90E" w14:textId="2D0C5E0B" w:rsidR="00CA225A" w:rsidRPr="00C27B20" w:rsidRDefault="00CA225A" w:rsidP="00C27B20">
      <w:pPr>
        <w:pStyle w:val="ListParagraph"/>
        <w:numPr>
          <w:ilvl w:val="0"/>
          <w:numId w:val="20"/>
        </w:numPr>
        <w:jc w:val="both"/>
        <w:rPr>
          <w:rFonts w:ascii="Garamond" w:hAnsi="Garamond"/>
          <w:b/>
        </w:rPr>
      </w:pPr>
      <w:r w:rsidRPr="00891781">
        <w:rPr>
          <w:rFonts w:ascii="Garamond" w:hAnsi="Garamond"/>
          <w:b/>
          <w:i/>
        </w:rPr>
        <w:t>Bona Fide</w:t>
      </w:r>
      <w:r w:rsidRPr="00C27B20">
        <w:rPr>
          <w:rFonts w:ascii="Garamond" w:hAnsi="Garamond"/>
          <w:b/>
        </w:rPr>
        <w:t xml:space="preserve"> Hedging and the Recognition of Risk</w:t>
      </w:r>
    </w:p>
    <w:p w14:paraId="631FE53D" w14:textId="77777777" w:rsidR="00B4470F" w:rsidRDefault="00B4470F" w:rsidP="00CA225A">
      <w:pPr>
        <w:jc w:val="both"/>
        <w:rPr>
          <w:rFonts w:ascii="Garamond" w:hAnsi="Garamond"/>
          <w:sz w:val="24"/>
          <w:szCs w:val="24"/>
        </w:rPr>
      </w:pPr>
    </w:p>
    <w:p w14:paraId="07206790" w14:textId="38CC49D2" w:rsidR="00C27B20" w:rsidRPr="00CF4CA3" w:rsidRDefault="00BB611A" w:rsidP="00CF4CA3">
      <w:pPr>
        <w:pStyle w:val="ListParagraph"/>
        <w:numPr>
          <w:ilvl w:val="1"/>
          <w:numId w:val="20"/>
        </w:numPr>
        <w:jc w:val="both"/>
        <w:rPr>
          <w:rFonts w:ascii="Garamond" w:hAnsi="Garamond"/>
          <w:b/>
        </w:rPr>
      </w:pPr>
      <w:r>
        <w:rPr>
          <w:rFonts w:ascii="Garamond" w:hAnsi="Garamond"/>
          <w:b/>
        </w:rPr>
        <w:t>Economically Appropriate Risk Management Activities</w:t>
      </w:r>
    </w:p>
    <w:p w14:paraId="47B8BE2B" w14:textId="77777777" w:rsidR="00CF4CA3" w:rsidRPr="00CF4CA3" w:rsidRDefault="00CF4CA3" w:rsidP="00CF4CA3">
      <w:pPr>
        <w:jc w:val="both"/>
        <w:rPr>
          <w:rFonts w:ascii="Garamond" w:hAnsi="Garamond"/>
          <w:b/>
          <w:i/>
        </w:rPr>
      </w:pPr>
    </w:p>
    <w:p w14:paraId="18DE7DD7" w14:textId="5779F9C7" w:rsidR="00161A6D" w:rsidRPr="00967678" w:rsidRDefault="00CC4043" w:rsidP="00BC2A9B">
      <w:pPr>
        <w:ind w:firstLine="720"/>
        <w:jc w:val="both"/>
        <w:rPr>
          <w:rFonts w:ascii="Garamond" w:hAnsi="Garamond"/>
          <w:sz w:val="24"/>
          <w:szCs w:val="24"/>
        </w:rPr>
      </w:pPr>
      <w:r>
        <w:rPr>
          <w:rFonts w:ascii="Garamond" w:hAnsi="Garamond"/>
          <w:sz w:val="24"/>
          <w:szCs w:val="24"/>
        </w:rPr>
        <w:t xml:space="preserve">The preamble to the Supplemental Proposal </w:t>
      </w:r>
      <w:r w:rsidR="00094C19">
        <w:rPr>
          <w:rFonts w:ascii="Garamond" w:hAnsi="Garamond"/>
          <w:sz w:val="24"/>
          <w:szCs w:val="24"/>
        </w:rPr>
        <w:t xml:space="preserve">states that the Commission interprets risk in the </w:t>
      </w:r>
      <w:r w:rsidR="003903EB">
        <w:rPr>
          <w:rFonts w:ascii="Garamond" w:hAnsi="Garamond"/>
          <w:sz w:val="24"/>
          <w:szCs w:val="24"/>
        </w:rPr>
        <w:t>“</w:t>
      </w:r>
      <w:r w:rsidR="00094C19">
        <w:rPr>
          <w:rFonts w:ascii="Garamond" w:hAnsi="Garamond"/>
          <w:sz w:val="24"/>
          <w:szCs w:val="24"/>
        </w:rPr>
        <w:t>economically appropriate</w:t>
      </w:r>
      <w:r w:rsidR="003903EB">
        <w:rPr>
          <w:rFonts w:ascii="Garamond" w:hAnsi="Garamond"/>
          <w:sz w:val="24"/>
          <w:szCs w:val="24"/>
        </w:rPr>
        <w:t>”</w:t>
      </w:r>
      <w:r w:rsidR="00094C19">
        <w:rPr>
          <w:rFonts w:ascii="Garamond" w:hAnsi="Garamond"/>
          <w:sz w:val="24"/>
          <w:szCs w:val="24"/>
        </w:rPr>
        <w:t xml:space="preserve"> test </w:t>
      </w:r>
      <w:r w:rsidR="00607C62">
        <w:rPr>
          <w:rFonts w:ascii="Garamond" w:hAnsi="Garamond"/>
          <w:sz w:val="24"/>
          <w:szCs w:val="24"/>
        </w:rPr>
        <w:t xml:space="preserve">to mean price </w:t>
      </w:r>
      <w:r w:rsidR="00607C62" w:rsidRPr="00612905">
        <w:rPr>
          <w:rFonts w:ascii="Garamond" w:hAnsi="Garamond"/>
          <w:i/>
          <w:sz w:val="24"/>
          <w:szCs w:val="24"/>
        </w:rPr>
        <w:t>risk</w:t>
      </w:r>
      <w:r w:rsidR="00607C62">
        <w:rPr>
          <w:rFonts w:ascii="Garamond" w:hAnsi="Garamond"/>
          <w:sz w:val="24"/>
          <w:szCs w:val="24"/>
        </w:rPr>
        <w:t xml:space="preserve">, and </w:t>
      </w:r>
      <w:r w:rsidR="00607D93">
        <w:rPr>
          <w:rFonts w:ascii="Garamond" w:hAnsi="Garamond"/>
          <w:sz w:val="24"/>
          <w:szCs w:val="24"/>
        </w:rPr>
        <w:t>considers rejecting</w:t>
      </w:r>
      <w:r w:rsidR="005C350A">
        <w:rPr>
          <w:rFonts w:ascii="Garamond" w:hAnsi="Garamond"/>
          <w:sz w:val="24"/>
          <w:szCs w:val="24"/>
        </w:rPr>
        <w:t xml:space="preserve"> the adoption for a broader interpretation of risk, including execution, logistics, and credit risk.</w:t>
      </w:r>
      <w:r w:rsidR="00657B2D">
        <w:rPr>
          <w:rStyle w:val="FootnoteReference"/>
          <w:rFonts w:ascii="Garamond" w:hAnsi="Garamond"/>
          <w:sz w:val="24"/>
          <w:szCs w:val="24"/>
        </w:rPr>
        <w:footnoteReference w:id="10"/>
      </w:r>
      <w:r w:rsidR="00094C19">
        <w:rPr>
          <w:rFonts w:ascii="Garamond" w:hAnsi="Garamond"/>
          <w:sz w:val="24"/>
          <w:szCs w:val="24"/>
        </w:rPr>
        <w:t xml:space="preserve"> </w:t>
      </w:r>
      <w:r w:rsidR="00A44E69">
        <w:rPr>
          <w:rFonts w:ascii="Garamond" w:hAnsi="Garamond"/>
          <w:sz w:val="24"/>
          <w:szCs w:val="24"/>
        </w:rPr>
        <w:t xml:space="preserve"> </w:t>
      </w:r>
      <w:r w:rsidR="0078290E">
        <w:rPr>
          <w:rFonts w:ascii="Garamond" w:hAnsi="Garamond"/>
          <w:sz w:val="24"/>
          <w:szCs w:val="24"/>
        </w:rPr>
        <w:t xml:space="preserve">CMC </w:t>
      </w:r>
      <w:r w:rsidR="00891781">
        <w:rPr>
          <w:rFonts w:ascii="Garamond" w:hAnsi="Garamond"/>
          <w:sz w:val="24"/>
          <w:szCs w:val="24"/>
        </w:rPr>
        <w:t xml:space="preserve">strongly </w:t>
      </w:r>
      <w:r w:rsidR="0078290E">
        <w:rPr>
          <w:rFonts w:ascii="Garamond" w:hAnsi="Garamond"/>
          <w:sz w:val="24"/>
          <w:szCs w:val="24"/>
        </w:rPr>
        <w:t xml:space="preserve">urges the Commission </w:t>
      </w:r>
      <w:r w:rsidR="002042EE">
        <w:rPr>
          <w:rFonts w:ascii="Garamond" w:hAnsi="Garamond"/>
          <w:sz w:val="24"/>
          <w:szCs w:val="24"/>
        </w:rPr>
        <w:t xml:space="preserve">to reconsider this approach. </w:t>
      </w:r>
      <w:r w:rsidR="00BF685F">
        <w:rPr>
          <w:rFonts w:ascii="Garamond" w:hAnsi="Garamond"/>
          <w:sz w:val="24"/>
          <w:szCs w:val="24"/>
        </w:rPr>
        <w:t xml:space="preserve"> </w:t>
      </w:r>
      <w:r w:rsidR="00A44E69">
        <w:rPr>
          <w:rFonts w:ascii="Garamond" w:hAnsi="Garamond"/>
          <w:sz w:val="24"/>
          <w:szCs w:val="24"/>
        </w:rPr>
        <w:t>C</w:t>
      </w:r>
      <w:r w:rsidR="002042EE">
        <w:rPr>
          <w:rFonts w:ascii="Garamond" w:hAnsi="Garamond"/>
          <w:sz w:val="24"/>
          <w:szCs w:val="24"/>
        </w:rPr>
        <w:t>ommercial and end-user firms hedge many types of risk</w:t>
      </w:r>
      <w:r w:rsidR="000E3F3E">
        <w:rPr>
          <w:rFonts w:ascii="Garamond" w:hAnsi="Garamond"/>
          <w:sz w:val="24"/>
          <w:szCs w:val="24"/>
        </w:rPr>
        <w:t>s</w:t>
      </w:r>
      <w:r w:rsidR="00A44E69">
        <w:rPr>
          <w:rFonts w:ascii="Garamond" w:hAnsi="Garamond"/>
          <w:sz w:val="24"/>
          <w:szCs w:val="24"/>
        </w:rPr>
        <w:t xml:space="preserve"> that ultimately bear on the price risk exposures of the firms and their use of </w:t>
      </w:r>
      <w:r w:rsidR="002042EE">
        <w:rPr>
          <w:rFonts w:ascii="Garamond" w:hAnsi="Garamond"/>
          <w:sz w:val="24"/>
          <w:szCs w:val="24"/>
        </w:rPr>
        <w:t xml:space="preserve">the commodity derivative markets.  The price discovery process of the market aggregates participants’ collective expectations of innumerable factors impacting supply and demand, and distills that into an expression of price.  Price relationships are critically important, and at times more so than the absolute value of a </w:t>
      </w:r>
      <w:r w:rsidR="002042EE" w:rsidRPr="00967678">
        <w:rPr>
          <w:rFonts w:ascii="Garamond" w:hAnsi="Garamond"/>
          <w:sz w:val="24"/>
          <w:szCs w:val="24"/>
        </w:rPr>
        <w:t>particular price.  Commercial firms may seek to hedge risks associated with production, quality, currency, interest rates, counterparty, credit, logistics, and other risks posed throughout their normal course of business.  Moreover, price r</w:t>
      </w:r>
      <w:r w:rsidR="002042EE" w:rsidRPr="00161A6D">
        <w:rPr>
          <w:rFonts w:ascii="Garamond" w:hAnsi="Garamond"/>
          <w:sz w:val="24"/>
          <w:szCs w:val="24"/>
        </w:rPr>
        <w:t>isk is extremely complex and may include volatility and similar non-linear</w:t>
      </w:r>
      <w:r w:rsidR="00023403" w:rsidRPr="00161A6D">
        <w:rPr>
          <w:rFonts w:ascii="Garamond" w:hAnsi="Garamond"/>
          <w:sz w:val="24"/>
          <w:szCs w:val="24"/>
        </w:rPr>
        <w:t xml:space="preserve"> risks associated with prices.  Fundamentally, a transaction to hedge any of these risks in connection with a commercial business should receive </w:t>
      </w:r>
      <w:r w:rsidR="00023403" w:rsidRPr="00161A6D">
        <w:rPr>
          <w:rFonts w:ascii="Garamond" w:hAnsi="Garamond"/>
          <w:i/>
          <w:sz w:val="24"/>
          <w:szCs w:val="24"/>
        </w:rPr>
        <w:t>bona fide</w:t>
      </w:r>
      <w:r w:rsidR="00023403" w:rsidRPr="00161A6D">
        <w:rPr>
          <w:rFonts w:ascii="Garamond" w:hAnsi="Garamond"/>
          <w:sz w:val="24"/>
          <w:szCs w:val="24"/>
        </w:rPr>
        <w:t xml:space="preserve"> hedging treatment.  In adopting a comprehensive view of risk, the Commission should not condition </w:t>
      </w:r>
      <w:r w:rsidR="00023403" w:rsidRPr="00161A6D">
        <w:rPr>
          <w:rFonts w:ascii="Garamond" w:hAnsi="Garamond"/>
          <w:i/>
          <w:sz w:val="24"/>
          <w:szCs w:val="24"/>
        </w:rPr>
        <w:t>bona fide</w:t>
      </w:r>
      <w:r w:rsidR="00023403" w:rsidRPr="00161A6D">
        <w:rPr>
          <w:rFonts w:ascii="Garamond" w:hAnsi="Garamond"/>
          <w:sz w:val="24"/>
          <w:szCs w:val="24"/>
        </w:rPr>
        <w:t xml:space="preserve"> hedging treatment as available only when risk crystalizes by virtue of a firm holding a physical position or by entering into a contract.  </w:t>
      </w:r>
      <w:r w:rsidR="00A44E69" w:rsidRPr="00161A6D">
        <w:rPr>
          <w:rFonts w:ascii="Garamond" w:hAnsi="Garamond"/>
          <w:sz w:val="24"/>
          <w:szCs w:val="24"/>
        </w:rPr>
        <w:t xml:space="preserve">Such a view injects risk into commercial activities as it fails to recognize the constant shifts in factors that affect price risk exposures broadly.  </w:t>
      </w:r>
      <w:r w:rsidR="00023403" w:rsidRPr="00161A6D">
        <w:rPr>
          <w:rFonts w:ascii="Garamond" w:hAnsi="Garamond"/>
          <w:sz w:val="24"/>
          <w:szCs w:val="24"/>
        </w:rPr>
        <w:t xml:space="preserve">Risk is inherent to commercial businesses, and the Commission should </w:t>
      </w:r>
      <w:r w:rsidR="00A44E69" w:rsidRPr="00161A6D">
        <w:rPr>
          <w:rFonts w:ascii="Garamond" w:hAnsi="Garamond"/>
          <w:sz w:val="24"/>
          <w:szCs w:val="24"/>
        </w:rPr>
        <w:t xml:space="preserve">encourage </w:t>
      </w:r>
      <w:r w:rsidR="00023403" w:rsidRPr="00161A6D">
        <w:rPr>
          <w:rFonts w:ascii="Garamond" w:hAnsi="Garamond"/>
          <w:sz w:val="24"/>
          <w:szCs w:val="24"/>
        </w:rPr>
        <w:t>commercial and end-user firms to manage risk to the fullest extent possible.</w:t>
      </w:r>
      <w:r w:rsidR="002E7781">
        <w:rPr>
          <w:rStyle w:val="FootnoteReference"/>
          <w:rFonts w:ascii="Garamond" w:hAnsi="Garamond"/>
          <w:sz w:val="24"/>
          <w:szCs w:val="24"/>
        </w:rPr>
        <w:footnoteReference w:id="11"/>
      </w:r>
      <w:r w:rsidR="00023403" w:rsidRPr="00161A6D">
        <w:rPr>
          <w:rFonts w:ascii="Garamond" w:hAnsi="Garamond"/>
          <w:sz w:val="24"/>
          <w:szCs w:val="24"/>
        </w:rPr>
        <w:t xml:space="preserve">  </w:t>
      </w:r>
      <w:r w:rsidR="00161A6D" w:rsidRPr="00967678">
        <w:rPr>
          <w:rFonts w:ascii="Garamond" w:hAnsi="Garamond"/>
          <w:sz w:val="24"/>
          <w:szCs w:val="24"/>
        </w:rPr>
        <w:t> </w:t>
      </w:r>
    </w:p>
    <w:p w14:paraId="01BA6416" w14:textId="77777777" w:rsidR="002042EE" w:rsidRPr="00161A6D" w:rsidRDefault="002042EE" w:rsidP="00885B5A">
      <w:pPr>
        <w:jc w:val="both"/>
        <w:rPr>
          <w:rFonts w:ascii="Garamond" w:hAnsi="Garamond"/>
          <w:sz w:val="24"/>
          <w:szCs w:val="24"/>
        </w:rPr>
      </w:pPr>
    </w:p>
    <w:p w14:paraId="2893D0DB" w14:textId="321DECF5" w:rsidR="00885B5A" w:rsidRDefault="00023403" w:rsidP="00BC2A9B">
      <w:pPr>
        <w:ind w:firstLine="720"/>
        <w:jc w:val="both"/>
        <w:rPr>
          <w:rFonts w:ascii="Garamond" w:hAnsi="Garamond"/>
          <w:sz w:val="24"/>
          <w:szCs w:val="24"/>
        </w:rPr>
      </w:pPr>
      <w:r w:rsidRPr="00161A6D">
        <w:rPr>
          <w:rFonts w:ascii="Garamond" w:hAnsi="Garamond"/>
          <w:sz w:val="24"/>
          <w:szCs w:val="24"/>
        </w:rPr>
        <w:t>For these reasons</w:t>
      </w:r>
      <w:r w:rsidR="002042EE" w:rsidRPr="00161A6D">
        <w:rPr>
          <w:rFonts w:ascii="Garamond" w:hAnsi="Garamond"/>
          <w:sz w:val="24"/>
          <w:szCs w:val="24"/>
        </w:rPr>
        <w:t xml:space="preserve">, the Commission </w:t>
      </w:r>
      <w:r w:rsidRPr="00161A6D">
        <w:rPr>
          <w:rFonts w:ascii="Garamond" w:hAnsi="Garamond"/>
          <w:sz w:val="24"/>
          <w:szCs w:val="24"/>
        </w:rPr>
        <w:t>should</w:t>
      </w:r>
      <w:r w:rsidR="0078290E" w:rsidRPr="00161A6D">
        <w:rPr>
          <w:rFonts w:ascii="Garamond" w:hAnsi="Garamond"/>
          <w:sz w:val="24"/>
          <w:szCs w:val="24"/>
        </w:rPr>
        <w:t xml:space="preserve"> read the term</w:t>
      </w:r>
      <w:r w:rsidR="00111536" w:rsidRPr="00161A6D">
        <w:rPr>
          <w:rFonts w:ascii="Garamond" w:hAnsi="Garamond"/>
          <w:sz w:val="24"/>
          <w:szCs w:val="24"/>
        </w:rPr>
        <w:t xml:space="preserve"> </w:t>
      </w:r>
      <w:r w:rsidR="00111536" w:rsidRPr="00161A6D">
        <w:rPr>
          <w:rFonts w:ascii="Garamond" w:hAnsi="Garamond"/>
          <w:i/>
          <w:sz w:val="24"/>
          <w:szCs w:val="24"/>
        </w:rPr>
        <w:t>risk</w:t>
      </w:r>
      <w:r w:rsidR="000E3F3E">
        <w:rPr>
          <w:rFonts w:ascii="Garamond" w:hAnsi="Garamond"/>
          <w:i/>
          <w:sz w:val="24"/>
          <w:szCs w:val="24"/>
        </w:rPr>
        <w:t>s</w:t>
      </w:r>
      <w:r w:rsidR="00111536" w:rsidRPr="00161A6D">
        <w:rPr>
          <w:rFonts w:ascii="Garamond" w:hAnsi="Garamond"/>
          <w:sz w:val="24"/>
          <w:szCs w:val="24"/>
        </w:rPr>
        <w:t xml:space="preserve"> in CEA Section 4a(c)</w:t>
      </w:r>
      <w:r w:rsidR="00F0147F" w:rsidRPr="00161A6D">
        <w:rPr>
          <w:rFonts w:ascii="Garamond" w:hAnsi="Garamond"/>
          <w:sz w:val="24"/>
          <w:szCs w:val="24"/>
        </w:rPr>
        <w:t>(2)(A)(ii)</w:t>
      </w:r>
      <w:r w:rsidR="00111536" w:rsidRPr="00161A6D">
        <w:rPr>
          <w:rFonts w:ascii="Garamond" w:hAnsi="Garamond"/>
          <w:sz w:val="24"/>
          <w:szCs w:val="24"/>
        </w:rPr>
        <w:t xml:space="preserve"> to </w:t>
      </w:r>
      <w:r w:rsidR="003576B2" w:rsidRPr="00161A6D">
        <w:rPr>
          <w:rFonts w:ascii="Garamond" w:hAnsi="Garamond"/>
          <w:sz w:val="24"/>
          <w:szCs w:val="24"/>
        </w:rPr>
        <w:t>encompass</w:t>
      </w:r>
      <w:r w:rsidR="00111536" w:rsidRPr="00161A6D">
        <w:rPr>
          <w:rFonts w:ascii="Garamond" w:hAnsi="Garamond"/>
          <w:sz w:val="24"/>
          <w:szCs w:val="24"/>
        </w:rPr>
        <w:t xml:space="preserve"> the countless risks facing commercial</w:t>
      </w:r>
      <w:r w:rsidR="00111536">
        <w:rPr>
          <w:rFonts w:ascii="Garamond" w:hAnsi="Garamond"/>
          <w:sz w:val="24"/>
          <w:szCs w:val="24"/>
        </w:rPr>
        <w:t xml:space="preserve"> market participants</w:t>
      </w:r>
      <w:r w:rsidR="00BA7854">
        <w:rPr>
          <w:rFonts w:ascii="Garamond" w:hAnsi="Garamond"/>
          <w:sz w:val="24"/>
          <w:szCs w:val="24"/>
        </w:rPr>
        <w:t xml:space="preserve"> during the conduct of business</w:t>
      </w:r>
      <w:r w:rsidR="00F0147F">
        <w:rPr>
          <w:rFonts w:ascii="Garamond" w:hAnsi="Garamond"/>
          <w:sz w:val="24"/>
          <w:szCs w:val="24"/>
        </w:rPr>
        <w:t>,</w:t>
      </w:r>
      <w:r w:rsidR="003576B2">
        <w:rPr>
          <w:rFonts w:ascii="Garamond" w:hAnsi="Garamond"/>
          <w:sz w:val="24"/>
          <w:szCs w:val="24"/>
        </w:rPr>
        <w:t xml:space="preserve"> including but not limited to</w:t>
      </w:r>
      <w:r w:rsidR="00F0147F">
        <w:rPr>
          <w:rFonts w:ascii="Garamond" w:hAnsi="Garamond"/>
          <w:sz w:val="24"/>
          <w:szCs w:val="24"/>
        </w:rPr>
        <w:t>:</w:t>
      </w:r>
      <w:r w:rsidR="00111536">
        <w:rPr>
          <w:rFonts w:ascii="Garamond" w:hAnsi="Garamond"/>
          <w:sz w:val="24"/>
          <w:szCs w:val="24"/>
        </w:rPr>
        <w:t xml:space="preserve"> absolute price risk, relative price risk (which is basis or unfixed risk), calendar spread risk, time risk, location risk, quality risk, execution and logistics risk, credit risk, counterparty risk, default risk, weather risk, sovereign ris</w:t>
      </w:r>
      <w:r>
        <w:rPr>
          <w:rFonts w:ascii="Garamond" w:hAnsi="Garamond"/>
          <w:sz w:val="24"/>
          <w:szCs w:val="24"/>
        </w:rPr>
        <w:t xml:space="preserve">k, and government policy risk.  </w:t>
      </w:r>
      <w:r w:rsidR="00AE55CB">
        <w:rPr>
          <w:rFonts w:ascii="Garamond" w:hAnsi="Garamond"/>
          <w:sz w:val="24"/>
          <w:szCs w:val="24"/>
        </w:rPr>
        <w:t xml:space="preserve">The Commission </w:t>
      </w:r>
      <w:r w:rsidR="00A44E69">
        <w:rPr>
          <w:rFonts w:ascii="Garamond" w:hAnsi="Garamond"/>
          <w:sz w:val="24"/>
          <w:szCs w:val="24"/>
        </w:rPr>
        <w:t xml:space="preserve">should </w:t>
      </w:r>
      <w:r w:rsidR="00AE55CB">
        <w:rPr>
          <w:rFonts w:ascii="Garamond" w:hAnsi="Garamond"/>
          <w:sz w:val="24"/>
          <w:szCs w:val="24"/>
        </w:rPr>
        <w:t>recognize that taking a narrow view of risk</w:t>
      </w:r>
      <w:r w:rsidR="00555AC6">
        <w:rPr>
          <w:rFonts w:ascii="Garamond" w:hAnsi="Garamond"/>
          <w:sz w:val="24"/>
          <w:szCs w:val="24"/>
        </w:rPr>
        <w:t>s</w:t>
      </w:r>
      <w:r w:rsidR="00AE55CB">
        <w:rPr>
          <w:rFonts w:ascii="Garamond" w:hAnsi="Garamond"/>
          <w:sz w:val="24"/>
          <w:szCs w:val="24"/>
        </w:rPr>
        <w:t xml:space="preserve"> will result in a reduction of </w:t>
      </w:r>
      <w:r w:rsidR="00AE55CB">
        <w:rPr>
          <w:rFonts w:ascii="Garamond" w:hAnsi="Garamond"/>
          <w:sz w:val="24"/>
          <w:szCs w:val="24"/>
        </w:rPr>
        <w:lastRenderedPageBreak/>
        <w:t xml:space="preserve">liquidity and wider bid offer </w:t>
      </w:r>
      <w:r w:rsidR="00FB08EC">
        <w:rPr>
          <w:rFonts w:ascii="Garamond" w:hAnsi="Garamond"/>
          <w:sz w:val="24"/>
          <w:szCs w:val="24"/>
        </w:rPr>
        <w:t xml:space="preserve">spreads </w:t>
      </w:r>
      <w:r w:rsidR="00AE55CB">
        <w:rPr>
          <w:rFonts w:ascii="Garamond" w:hAnsi="Garamond"/>
          <w:sz w:val="24"/>
          <w:szCs w:val="24"/>
        </w:rPr>
        <w:t>and credit spreads</w:t>
      </w:r>
      <w:r w:rsidR="00C7238E">
        <w:rPr>
          <w:rFonts w:ascii="Garamond" w:hAnsi="Garamond"/>
          <w:sz w:val="24"/>
          <w:szCs w:val="24"/>
        </w:rPr>
        <w:t xml:space="preserve"> – inadvertently creating the environment for price disruption the CFTC seeks to prevent</w:t>
      </w:r>
      <w:r w:rsidR="00AE55CB">
        <w:rPr>
          <w:rFonts w:ascii="Garamond" w:hAnsi="Garamond"/>
          <w:sz w:val="24"/>
          <w:szCs w:val="24"/>
        </w:rPr>
        <w:t xml:space="preserve">. </w:t>
      </w:r>
      <w:r w:rsidR="002E7781">
        <w:rPr>
          <w:rFonts w:ascii="Garamond" w:hAnsi="Garamond"/>
          <w:sz w:val="24"/>
          <w:szCs w:val="24"/>
        </w:rPr>
        <w:t xml:space="preserve"> </w:t>
      </w:r>
      <w:r w:rsidR="00AE55CB">
        <w:rPr>
          <w:rFonts w:ascii="Garamond" w:hAnsi="Garamond"/>
          <w:sz w:val="24"/>
          <w:szCs w:val="24"/>
        </w:rPr>
        <w:t>This in turn will lead to wider risk premiums throughout the business channel, which will ultimately be passed along to end consumers who will bear the costs.</w:t>
      </w:r>
      <w:r w:rsidR="00206B94">
        <w:rPr>
          <w:rFonts w:ascii="Garamond" w:hAnsi="Garamond"/>
          <w:sz w:val="24"/>
          <w:szCs w:val="24"/>
        </w:rPr>
        <w:t xml:space="preserve">  </w:t>
      </w:r>
      <w:r w:rsidR="00206B94" w:rsidRPr="00EF68F4">
        <w:rPr>
          <w:rFonts w:ascii="Garamond" w:hAnsi="Garamond"/>
          <w:sz w:val="24"/>
          <w:szCs w:val="24"/>
        </w:rPr>
        <w:t xml:space="preserve">If </w:t>
      </w:r>
      <w:r w:rsidR="001D1E2C" w:rsidRPr="00EF68F4">
        <w:rPr>
          <w:rFonts w:ascii="Garamond" w:hAnsi="Garamond"/>
          <w:sz w:val="24"/>
          <w:szCs w:val="24"/>
        </w:rPr>
        <w:t>the Commission elects not to adopt this approach</w:t>
      </w:r>
      <w:r w:rsidR="00206B94" w:rsidRPr="00EF68F4">
        <w:rPr>
          <w:rFonts w:ascii="Garamond" w:hAnsi="Garamond"/>
          <w:sz w:val="24"/>
          <w:szCs w:val="24"/>
        </w:rPr>
        <w:t xml:space="preserve">, </w:t>
      </w:r>
      <w:r w:rsidR="001D1E2C" w:rsidRPr="00EF68F4">
        <w:rPr>
          <w:rFonts w:ascii="Garamond" w:hAnsi="Garamond"/>
          <w:sz w:val="24"/>
          <w:szCs w:val="24"/>
        </w:rPr>
        <w:t>it</w:t>
      </w:r>
      <w:r w:rsidR="00206B94" w:rsidRPr="00EF68F4">
        <w:rPr>
          <w:rFonts w:ascii="Garamond" w:hAnsi="Garamond"/>
          <w:sz w:val="24"/>
          <w:szCs w:val="24"/>
        </w:rPr>
        <w:t xml:space="preserve"> should</w:t>
      </w:r>
      <w:r w:rsidR="00694CF4" w:rsidRPr="00EF68F4">
        <w:rPr>
          <w:rFonts w:ascii="Garamond" w:hAnsi="Garamond"/>
          <w:sz w:val="24"/>
          <w:szCs w:val="24"/>
        </w:rPr>
        <w:t xml:space="preserve"> not expressly reject</w:t>
      </w:r>
      <w:r w:rsidR="006F5584">
        <w:rPr>
          <w:rFonts w:ascii="Garamond" w:hAnsi="Garamond"/>
          <w:sz w:val="24"/>
          <w:szCs w:val="24"/>
        </w:rPr>
        <w:t xml:space="preserve"> the approach</w:t>
      </w:r>
      <w:r w:rsidR="00612905" w:rsidRPr="00EF68F4">
        <w:rPr>
          <w:rFonts w:ascii="Garamond" w:hAnsi="Garamond"/>
          <w:sz w:val="24"/>
          <w:szCs w:val="24"/>
        </w:rPr>
        <w:t xml:space="preserve"> </w:t>
      </w:r>
      <w:r w:rsidR="006F5584">
        <w:rPr>
          <w:rFonts w:ascii="Garamond" w:hAnsi="Garamond"/>
          <w:sz w:val="24"/>
          <w:szCs w:val="24"/>
        </w:rPr>
        <w:t>or</w:t>
      </w:r>
      <w:r w:rsidR="006F5584" w:rsidRPr="00EF68F4">
        <w:rPr>
          <w:rFonts w:ascii="Garamond" w:hAnsi="Garamond"/>
          <w:sz w:val="24"/>
          <w:szCs w:val="24"/>
        </w:rPr>
        <w:t xml:space="preserve"> </w:t>
      </w:r>
      <w:r w:rsidR="00612905" w:rsidRPr="00EF68F4">
        <w:rPr>
          <w:rFonts w:ascii="Garamond" w:hAnsi="Garamond"/>
          <w:sz w:val="24"/>
          <w:szCs w:val="24"/>
        </w:rPr>
        <w:t>adopt a hard prohibition on</w:t>
      </w:r>
      <w:r w:rsidR="00694CF4" w:rsidRPr="00EF68F4">
        <w:rPr>
          <w:rFonts w:ascii="Garamond" w:hAnsi="Garamond"/>
          <w:sz w:val="24"/>
          <w:szCs w:val="24"/>
        </w:rPr>
        <w:t xml:space="preserve"> the broader types of risks</w:t>
      </w:r>
      <w:r w:rsidR="00612905" w:rsidRPr="00EF68F4">
        <w:rPr>
          <w:rFonts w:ascii="Garamond" w:hAnsi="Garamond"/>
          <w:sz w:val="24"/>
          <w:szCs w:val="24"/>
        </w:rPr>
        <w:t xml:space="preserve"> that commercial </w:t>
      </w:r>
      <w:r w:rsidR="00747A20">
        <w:rPr>
          <w:rFonts w:ascii="Garamond" w:hAnsi="Garamond"/>
          <w:sz w:val="24"/>
          <w:szCs w:val="24"/>
        </w:rPr>
        <w:t xml:space="preserve">and </w:t>
      </w:r>
      <w:r w:rsidR="00612905" w:rsidRPr="00EF68F4">
        <w:rPr>
          <w:rFonts w:ascii="Garamond" w:hAnsi="Garamond"/>
          <w:sz w:val="24"/>
          <w:szCs w:val="24"/>
        </w:rPr>
        <w:t>end-user</w:t>
      </w:r>
      <w:r w:rsidR="00747A20">
        <w:rPr>
          <w:rFonts w:ascii="Garamond" w:hAnsi="Garamond"/>
          <w:sz w:val="24"/>
          <w:szCs w:val="24"/>
        </w:rPr>
        <w:t xml:space="preserve"> firms</w:t>
      </w:r>
      <w:r w:rsidR="00612905" w:rsidRPr="00EF68F4">
        <w:rPr>
          <w:rFonts w:ascii="Garamond" w:hAnsi="Garamond"/>
          <w:sz w:val="24"/>
          <w:szCs w:val="24"/>
        </w:rPr>
        <w:t xml:space="preserve"> face</w:t>
      </w:r>
      <w:r w:rsidR="006F5584">
        <w:rPr>
          <w:rFonts w:ascii="Garamond" w:hAnsi="Garamond"/>
          <w:sz w:val="24"/>
          <w:szCs w:val="24"/>
        </w:rPr>
        <w:t>.  Instead the CFTC should</w:t>
      </w:r>
      <w:r w:rsidR="00206B94" w:rsidRPr="00EF68F4">
        <w:rPr>
          <w:rFonts w:ascii="Garamond" w:hAnsi="Garamond"/>
          <w:sz w:val="24"/>
          <w:szCs w:val="24"/>
        </w:rPr>
        <w:t xml:space="preserve"> allow the exchanges</w:t>
      </w:r>
      <w:r w:rsidR="00884752" w:rsidRPr="00EF68F4">
        <w:rPr>
          <w:rFonts w:ascii="Garamond" w:hAnsi="Garamond"/>
          <w:sz w:val="24"/>
          <w:szCs w:val="24"/>
        </w:rPr>
        <w:t xml:space="preserve"> </w:t>
      </w:r>
      <w:r w:rsidR="00CC5ED8" w:rsidRPr="00EF68F4">
        <w:rPr>
          <w:rFonts w:ascii="Garamond" w:hAnsi="Garamond"/>
          <w:sz w:val="24"/>
          <w:szCs w:val="24"/>
        </w:rPr>
        <w:t>to utilize their market expertise</w:t>
      </w:r>
      <w:r w:rsidR="00206B94" w:rsidRPr="00EF68F4">
        <w:rPr>
          <w:rFonts w:ascii="Garamond" w:hAnsi="Garamond"/>
          <w:sz w:val="24"/>
          <w:szCs w:val="24"/>
        </w:rPr>
        <w:t xml:space="preserve"> to make </w:t>
      </w:r>
      <w:r w:rsidR="00D30B11" w:rsidRPr="00EF68F4">
        <w:rPr>
          <w:rFonts w:ascii="Garamond" w:hAnsi="Garamond"/>
          <w:sz w:val="24"/>
          <w:szCs w:val="24"/>
        </w:rPr>
        <w:t xml:space="preserve">a determination as to whether the transaction was </w:t>
      </w:r>
      <w:r w:rsidR="003903EB">
        <w:rPr>
          <w:rFonts w:ascii="Garamond" w:hAnsi="Garamond"/>
          <w:sz w:val="24"/>
          <w:szCs w:val="24"/>
        </w:rPr>
        <w:t>“</w:t>
      </w:r>
      <w:r w:rsidR="00D30B11" w:rsidRPr="00EF68F4">
        <w:rPr>
          <w:rFonts w:ascii="Garamond" w:hAnsi="Garamond"/>
          <w:sz w:val="24"/>
          <w:szCs w:val="24"/>
        </w:rPr>
        <w:t>economically appropriate</w:t>
      </w:r>
      <w:r w:rsidR="003903EB">
        <w:rPr>
          <w:rFonts w:ascii="Garamond" w:hAnsi="Garamond"/>
          <w:sz w:val="24"/>
          <w:szCs w:val="24"/>
        </w:rPr>
        <w:t>”</w:t>
      </w:r>
      <w:r w:rsidR="00D30B11" w:rsidRPr="00EF68F4">
        <w:rPr>
          <w:rFonts w:ascii="Garamond" w:hAnsi="Garamond"/>
          <w:sz w:val="24"/>
          <w:szCs w:val="24"/>
        </w:rPr>
        <w:t xml:space="preserve"> to the reduction of risk</w:t>
      </w:r>
      <w:r w:rsidR="00612905" w:rsidRPr="00EF68F4">
        <w:rPr>
          <w:rFonts w:ascii="Garamond" w:hAnsi="Garamond"/>
          <w:sz w:val="24"/>
          <w:szCs w:val="24"/>
        </w:rPr>
        <w:t xml:space="preserve"> for that</w:t>
      </w:r>
      <w:r w:rsidR="00CC5ED8" w:rsidRPr="00EF68F4">
        <w:rPr>
          <w:rFonts w:ascii="Garamond" w:hAnsi="Garamond"/>
          <w:sz w:val="24"/>
          <w:szCs w:val="24"/>
        </w:rPr>
        <w:t xml:space="preserve"> particular market participant</w:t>
      </w:r>
      <w:r w:rsidR="001B473D">
        <w:rPr>
          <w:rFonts w:ascii="Garamond" w:hAnsi="Garamond"/>
          <w:sz w:val="24"/>
          <w:szCs w:val="24"/>
        </w:rPr>
        <w:t xml:space="preserve"> at that particular point in time</w:t>
      </w:r>
      <w:r w:rsidR="00206B94" w:rsidRPr="00EF68F4">
        <w:rPr>
          <w:rFonts w:ascii="Garamond" w:hAnsi="Garamond"/>
          <w:sz w:val="24"/>
          <w:szCs w:val="24"/>
        </w:rPr>
        <w:t>.</w:t>
      </w:r>
    </w:p>
    <w:p w14:paraId="6A01FFC8" w14:textId="77777777" w:rsidR="00885B5A" w:rsidRDefault="00885B5A" w:rsidP="00885B5A">
      <w:pPr>
        <w:jc w:val="both"/>
        <w:rPr>
          <w:rFonts w:ascii="Garamond" w:hAnsi="Garamond"/>
          <w:sz w:val="24"/>
          <w:szCs w:val="24"/>
        </w:rPr>
      </w:pPr>
    </w:p>
    <w:p w14:paraId="2891786D" w14:textId="1A278502" w:rsidR="00BB611A" w:rsidRPr="008B6FA5" w:rsidRDefault="00BB611A" w:rsidP="008B6FA5">
      <w:pPr>
        <w:pStyle w:val="ListParagraph"/>
        <w:numPr>
          <w:ilvl w:val="1"/>
          <w:numId w:val="20"/>
        </w:numPr>
        <w:jc w:val="both"/>
        <w:rPr>
          <w:rFonts w:ascii="Garamond" w:hAnsi="Garamond"/>
          <w:b/>
        </w:rPr>
      </w:pPr>
      <w:r w:rsidRPr="008B6FA5">
        <w:rPr>
          <w:rFonts w:ascii="Garamond" w:hAnsi="Garamond"/>
          <w:b/>
        </w:rPr>
        <w:t>Economically Appropriate Test</w:t>
      </w:r>
    </w:p>
    <w:p w14:paraId="4D2B88AF" w14:textId="77777777" w:rsidR="008B6FA5" w:rsidRPr="008B6FA5" w:rsidRDefault="008B6FA5" w:rsidP="008B6FA5">
      <w:pPr>
        <w:ind w:left="1080"/>
        <w:jc w:val="both"/>
        <w:rPr>
          <w:rFonts w:ascii="Garamond" w:hAnsi="Garamond"/>
          <w:b/>
        </w:rPr>
      </w:pPr>
    </w:p>
    <w:p w14:paraId="1FF6258E" w14:textId="3CF5FD8A" w:rsidR="00AE55CB" w:rsidRDefault="002F43BB" w:rsidP="00927E07">
      <w:pPr>
        <w:ind w:firstLine="720"/>
        <w:jc w:val="both"/>
        <w:rPr>
          <w:rFonts w:ascii="Garamond" w:hAnsi="Garamond"/>
          <w:sz w:val="24"/>
          <w:szCs w:val="24"/>
        </w:rPr>
      </w:pPr>
      <w:r>
        <w:rPr>
          <w:rFonts w:ascii="Garamond" w:hAnsi="Garamond"/>
          <w:sz w:val="24"/>
          <w:szCs w:val="24"/>
        </w:rPr>
        <w:t xml:space="preserve">CMC reemphasizes that the new interpretation of the “economically appropriate” test in the 2013 </w:t>
      </w:r>
      <w:r w:rsidR="00FC5448">
        <w:rPr>
          <w:rFonts w:ascii="Garamond" w:hAnsi="Garamond"/>
          <w:sz w:val="24"/>
          <w:szCs w:val="24"/>
        </w:rPr>
        <w:t>P</w:t>
      </w:r>
      <w:r>
        <w:rPr>
          <w:rFonts w:ascii="Garamond" w:hAnsi="Garamond"/>
          <w:sz w:val="24"/>
          <w:szCs w:val="24"/>
        </w:rPr>
        <w:t>ropos</w:t>
      </w:r>
      <w:r w:rsidR="00FC5448">
        <w:rPr>
          <w:rFonts w:ascii="Garamond" w:hAnsi="Garamond"/>
          <w:sz w:val="24"/>
          <w:szCs w:val="24"/>
        </w:rPr>
        <w:t>ed Rule</w:t>
      </w:r>
      <w:r>
        <w:rPr>
          <w:rFonts w:ascii="Garamond" w:hAnsi="Garamond"/>
          <w:sz w:val="24"/>
          <w:szCs w:val="24"/>
        </w:rPr>
        <w:t xml:space="preserve"> runs counter to </w:t>
      </w:r>
      <w:r w:rsidR="007E0C49">
        <w:rPr>
          <w:rFonts w:ascii="Garamond" w:hAnsi="Garamond"/>
          <w:sz w:val="24"/>
          <w:szCs w:val="24"/>
        </w:rPr>
        <w:t xml:space="preserve">long-standing, efficient, and effective hedging </w:t>
      </w:r>
      <w:r>
        <w:rPr>
          <w:rFonts w:ascii="Garamond" w:hAnsi="Garamond"/>
          <w:sz w:val="24"/>
          <w:szCs w:val="24"/>
        </w:rPr>
        <w:t>pr</w:t>
      </w:r>
      <w:r w:rsidR="007E0C49">
        <w:rPr>
          <w:rFonts w:ascii="Garamond" w:hAnsi="Garamond"/>
          <w:sz w:val="24"/>
          <w:szCs w:val="24"/>
        </w:rPr>
        <w:t>actices</w:t>
      </w:r>
      <w:r>
        <w:rPr>
          <w:rFonts w:ascii="Garamond" w:hAnsi="Garamond"/>
          <w:sz w:val="24"/>
          <w:szCs w:val="24"/>
        </w:rPr>
        <w:t xml:space="preserve">.  The proposal suggests that to qualify for the </w:t>
      </w:r>
      <w:r w:rsidR="003903EB">
        <w:rPr>
          <w:rFonts w:ascii="Garamond" w:hAnsi="Garamond"/>
          <w:sz w:val="24"/>
          <w:szCs w:val="24"/>
        </w:rPr>
        <w:t>“</w:t>
      </w:r>
      <w:r>
        <w:rPr>
          <w:rFonts w:ascii="Garamond" w:hAnsi="Garamond"/>
          <w:sz w:val="24"/>
          <w:szCs w:val="24"/>
        </w:rPr>
        <w:t>economically appropriate</w:t>
      </w:r>
      <w:r w:rsidR="003903EB">
        <w:rPr>
          <w:rFonts w:ascii="Garamond" w:hAnsi="Garamond"/>
          <w:sz w:val="24"/>
          <w:szCs w:val="24"/>
        </w:rPr>
        <w:t>”</w:t>
      </w:r>
      <w:r>
        <w:rPr>
          <w:rFonts w:ascii="Garamond" w:hAnsi="Garamond"/>
          <w:sz w:val="24"/>
          <w:szCs w:val="24"/>
        </w:rPr>
        <w:t xml:space="preserve"> test, an entity has to consider all of its exposures when </w:t>
      </w:r>
      <w:r w:rsidR="00357F1B">
        <w:rPr>
          <w:rFonts w:ascii="Garamond" w:hAnsi="Garamond"/>
          <w:sz w:val="24"/>
          <w:szCs w:val="24"/>
        </w:rPr>
        <w:t xml:space="preserve">engaging in </w:t>
      </w:r>
      <w:r>
        <w:rPr>
          <w:rFonts w:ascii="Garamond" w:hAnsi="Garamond"/>
          <w:sz w:val="24"/>
          <w:szCs w:val="24"/>
        </w:rPr>
        <w:t xml:space="preserve">a risk reducing transaction and the entity itself cannot take into account exposures on a legal entity, division, trading desk, or even on an asset basis.  Rather, all exposure has to be consolidated and then analyzed as to whether or not the transaction reduces the risk to the entire enterprise.  This new interpretation substitutes a governmentally imposed one-size-fits-all risk management paradigm for a company doing its own prudent risk management business in light of its own facts and circumstances.  </w:t>
      </w:r>
      <w:r w:rsidR="00885B5A" w:rsidRPr="00885B5A">
        <w:rPr>
          <w:rFonts w:ascii="Garamond" w:hAnsi="Garamond"/>
          <w:sz w:val="24"/>
          <w:szCs w:val="24"/>
        </w:rPr>
        <w:t xml:space="preserve">Such an interpretation would require commercial entities to build a system to manage risk this way – a system that does not exist today because it does not provide risk management value. </w:t>
      </w:r>
    </w:p>
    <w:p w14:paraId="76C8087E" w14:textId="77777777" w:rsidR="00F400AA" w:rsidRDefault="00F400AA" w:rsidP="00CA225A">
      <w:pPr>
        <w:jc w:val="both"/>
        <w:rPr>
          <w:rFonts w:ascii="Garamond" w:hAnsi="Garamond"/>
          <w:sz w:val="24"/>
          <w:szCs w:val="24"/>
        </w:rPr>
      </w:pPr>
    </w:p>
    <w:p w14:paraId="535E02D8" w14:textId="653602A3" w:rsidR="00E8027E" w:rsidRDefault="00F400AA" w:rsidP="00025523">
      <w:pPr>
        <w:ind w:firstLine="720"/>
        <w:jc w:val="both"/>
        <w:rPr>
          <w:rFonts w:ascii="Garamond" w:hAnsi="Garamond"/>
          <w:sz w:val="24"/>
          <w:szCs w:val="24"/>
        </w:rPr>
      </w:pPr>
      <w:r w:rsidRPr="007A63FB">
        <w:rPr>
          <w:rFonts w:ascii="Garamond" w:hAnsi="Garamond"/>
          <w:sz w:val="24"/>
          <w:szCs w:val="24"/>
        </w:rPr>
        <w:t xml:space="preserve">When commercial </w:t>
      </w:r>
      <w:r>
        <w:rPr>
          <w:rFonts w:ascii="Garamond" w:hAnsi="Garamond"/>
          <w:sz w:val="24"/>
          <w:szCs w:val="24"/>
        </w:rPr>
        <w:t xml:space="preserve">and end-user </w:t>
      </w:r>
      <w:r w:rsidRPr="007A63FB">
        <w:rPr>
          <w:rFonts w:ascii="Garamond" w:hAnsi="Garamond"/>
          <w:sz w:val="24"/>
          <w:szCs w:val="24"/>
        </w:rPr>
        <w:t xml:space="preserve">firms are </w:t>
      </w:r>
      <w:r>
        <w:rPr>
          <w:rFonts w:ascii="Garamond" w:hAnsi="Garamond"/>
          <w:i/>
          <w:sz w:val="24"/>
          <w:szCs w:val="24"/>
        </w:rPr>
        <w:t>below</w:t>
      </w:r>
      <w:r w:rsidRPr="007A63FB">
        <w:rPr>
          <w:rFonts w:ascii="Garamond" w:hAnsi="Garamond"/>
          <w:sz w:val="24"/>
          <w:szCs w:val="24"/>
        </w:rPr>
        <w:t xml:space="preserve"> the speculative limit, their risk managers evaluate the risks that impact their business and manage those risks in many ways using the most effective and appropriate risk management strategies.  Of course, when a firm is </w:t>
      </w:r>
      <w:r w:rsidRPr="00357F1B">
        <w:rPr>
          <w:rFonts w:ascii="Garamond" w:hAnsi="Garamond"/>
          <w:i/>
          <w:sz w:val="24"/>
          <w:szCs w:val="24"/>
        </w:rPr>
        <w:t>below</w:t>
      </w:r>
      <w:r w:rsidRPr="007A63FB">
        <w:rPr>
          <w:rFonts w:ascii="Garamond" w:hAnsi="Garamond"/>
          <w:sz w:val="24"/>
          <w:szCs w:val="24"/>
        </w:rPr>
        <w:t xml:space="preserve"> the position limit, issues related to hedge exemptions are moot.  However, hedge exemption policy is critical when a firm is near, at, or above the limit.  While there has been much discussion between CMC members and the CFTC in many forums on the issue of “economic appropriateness” as it relate</w:t>
      </w:r>
      <w:r w:rsidR="0087682B">
        <w:rPr>
          <w:rFonts w:ascii="Garamond" w:hAnsi="Garamond"/>
          <w:sz w:val="24"/>
          <w:szCs w:val="24"/>
        </w:rPr>
        <w:t xml:space="preserve">s to hedge exemptions, what </w:t>
      </w:r>
      <w:r w:rsidRPr="007A63FB">
        <w:rPr>
          <w:rFonts w:ascii="Garamond" w:hAnsi="Garamond"/>
          <w:sz w:val="24"/>
          <w:szCs w:val="24"/>
        </w:rPr>
        <w:t>CMC is seeking is to allow our members to continue engaging in effective, essential, sound</w:t>
      </w:r>
      <w:r>
        <w:rPr>
          <w:rFonts w:ascii="Garamond" w:hAnsi="Garamond"/>
          <w:sz w:val="24"/>
          <w:szCs w:val="24"/>
        </w:rPr>
        <w:t>,</w:t>
      </w:r>
      <w:r w:rsidRPr="007A63FB">
        <w:rPr>
          <w:rFonts w:ascii="Garamond" w:hAnsi="Garamond"/>
          <w:sz w:val="24"/>
          <w:szCs w:val="24"/>
        </w:rPr>
        <w:t xml:space="preserve"> and appropriate risk management practice</w:t>
      </w:r>
      <w:r w:rsidR="00E00FDF">
        <w:rPr>
          <w:rFonts w:ascii="Garamond" w:hAnsi="Garamond"/>
          <w:sz w:val="24"/>
          <w:szCs w:val="24"/>
        </w:rPr>
        <w:t>s when our members are above</w:t>
      </w:r>
      <w:r w:rsidRPr="007A63FB">
        <w:rPr>
          <w:rFonts w:ascii="Garamond" w:hAnsi="Garamond"/>
          <w:sz w:val="24"/>
          <w:szCs w:val="24"/>
        </w:rPr>
        <w:t xml:space="preserve"> </w:t>
      </w:r>
      <w:r>
        <w:rPr>
          <w:rFonts w:ascii="Garamond" w:hAnsi="Garamond"/>
          <w:sz w:val="24"/>
          <w:szCs w:val="24"/>
        </w:rPr>
        <w:t xml:space="preserve">a particular </w:t>
      </w:r>
      <w:r w:rsidRPr="007A63FB">
        <w:rPr>
          <w:rFonts w:ascii="Garamond" w:hAnsi="Garamond"/>
          <w:sz w:val="24"/>
          <w:szCs w:val="24"/>
        </w:rPr>
        <w:t xml:space="preserve">limit.  Hedging strategies and sound risk management do not change whether one is above or below this limit.  Our members view risk and risk management the same whether below the limit or above the limit.  </w:t>
      </w:r>
    </w:p>
    <w:p w14:paraId="0D057385" w14:textId="77777777" w:rsidR="00E8027E" w:rsidRDefault="00E8027E" w:rsidP="00CA225A">
      <w:pPr>
        <w:jc w:val="both"/>
        <w:rPr>
          <w:rFonts w:ascii="Garamond" w:hAnsi="Garamond"/>
          <w:sz w:val="24"/>
          <w:szCs w:val="24"/>
        </w:rPr>
      </w:pPr>
    </w:p>
    <w:p w14:paraId="32B1F858" w14:textId="202F011B" w:rsidR="00795E77" w:rsidRDefault="00F400AA" w:rsidP="00025523">
      <w:pPr>
        <w:ind w:firstLine="720"/>
        <w:jc w:val="both"/>
        <w:rPr>
          <w:rFonts w:ascii="Garamond" w:hAnsi="Garamond"/>
          <w:sz w:val="24"/>
          <w:szCs w:val="24"/>
        </w:rPr>
      </w:pPr>
      <w:r w:rsidRPr="007A63FB">
        <w:rPr>
          <w:rFonts w:ascii="Garamond" w:hAnsi="Garamond"/>
          <w:sz w:val="24"/>
          <w:szCs w:val="24"/>
        </w:rPr>
        <w:t xml:space="preserve">This does </w:t>
      </w:r>
      <w:r>
        <w:rPr>
          <w:rFonts w:ascii="Garamond" w:hAnsi="Garamond"/>
          <w:i/>
          <w:sz w:val="24"/>
          <w:szCs w:val="24"/>
        </w:rPr>
        <w:t>not</w:t>
      </w:r>
      <w:r w:rsidRPr="007A63FB">
        <w:rPr>
          <w:rFonts w:ascii="Garamond" w:hAnsi="Garamond"/>
          <w:sz w:val="24"/>
          <w:szCs w:val="24"/>
        </w:rPr>
        <w:t xml:space="preserve"> mean that CMC members are seeking </w:t>
      </w:r>
      <w:r w:rsidRPr="00E00FDF">
        <w:rPr>
          <w:rFonts w:ascii="Garamond" w:hAnsi="Garamond"/>
          <w:i/>
          <w:sz w:val="24"/>
          <w:szCs w:val="24"/>
        </w:rPr>
        <w:t>carte blanch</w:t>
      </w:r>
      <w:r w:rsidR="00E00FDF" w:rsidRPr="00E00FDF">
        <w:rPr>
          <w:rFonts w:ascii="Garamond" w:hAnsi="Garamond"/>
          <w:i/>
          <w:sz w:val="24"/>
          <w:szCs w:val="24"/>
        </w:rPr>
        <w:t>e</w:t>
      </w:r>
      <w:r w:rsidRPr="007A63FB">
        <w:rPr>
          <w:rFonts w:ascii="Garamond" w:hAnsi="Garamond"/>
          <w:sz w:val="24"/>
          <w:szCs w:val="24"/>
        </w:rPr>
        <w:t xml:space="preserve"> authority to exceed the limit, to speculate</w:t>
      </w:r>
      <w:r>
        <w:rPr>
          <w:rFonts w:ascii="Garamond" w:hAnsi="Garamond"/>
          <w:sz w:val="24"/>
          <w:szCs w:val="24"/>
        </w:rPr>
        <w:t>,</w:t>
      </w:r>
      <w:r w:rsidRPr="007A63FB">
        <w:rPr>
          <w:rFonts w:ascii="Garamond" w:hAnsi="Garamond"/>
          <w:sz w:val="24"/>
          <w:szCs w:val="24"/>
        </w:rPr>
        <w:t xml:space="preserve"> or </w:t>
      </w:r>
      <w:r>
        <w:rPr>
          <w:rFonts w:ascii="Garamond" w:hAnsi="Garamond"/>
          <w:sz w:val="24"/>
          <w:szCs w:val="24"/>
        </w:rPr>
        <w:t xml:space="preserve">to </w:t>
      </w:r>
      <w:r w:rsidRPr="007A63FB">
        <w:rPr>
          <w:rFonts w:ascii="Garamond" w:hAnsi="Garamond"/>
          <w:sz w:val="24"/>
          <w:szCs w:val="24"/>
        </w:rPr>
        <w:t xml:space="preserve">become speculative entities as the CFTC may fear.  Rather, we urge the CFTC to recognize that commercial firms utilize risk management tools effectively below the limit and the effectiveness and appropriateness of their application does not change when they are used above the limit.  If they are not speculative, as can be shown through the facts and circumstances of the </w:t>
      </w:r>
      <w:r>
        <w:rPr>
          <w:rFonts w:ascii="Garamond" w:hAnsi="Garamond"/>
          <w:sz w:val="24"/>
          <w:szCs w:val="24"/>
        </w:rPr>
        <w:t>hedging entity</w:t>
      </w:r>
      <w:r w:rsidRPr="007A63FB">
        <w:rPr>
          <w:rFonts w:ascii="Garamond" w:hAnsi="Garamond"/>
          <w:sz w:val="24"/>
          <w:szCs w:val="24"/>
        </w:rPr>
        <w:t xml:space="preserve">, why should they be denied an exemption over a </w:t>
      </w:r>
      <w:r w:rsidR="00E00FDF">
        <w:rPr>
          <w:rFonts w:ascii="Garamond" w:hAnsi="Garamond"/>
          <w:sz w:val="24"/>
          <w:szCs w:val="24"/>
        </w:rPr>
        <w:t xml:space="preserve">narrower </w:t>
      </w:r>
      <w:r w:rsidRPr="007A63FB">
        <w:rPr>
          <w:rFonts w:ascii="Garamond" w:hAnsi="Garamond"/>
          <w:sz w:val="24"/>
          <w:szCs w:val="24"/>
        </w:rPr>
        <w:t>view of risk</w:t>
      </w:r>
      <w:r w:rsidR="00E00FDF">
        <w:rPr>
          <w:rFonts w:ascii="Garamond" w:hAnsi="Garamond"/>
          <w:sz w:val="24"/>
          <w:szCs w:val="24"/>
        </w:rPr>
        <w:t xml:space="preserve"> by the CFTC</w:t>
      </w:r>
      <w:r w:rsidRPr="007A63FB">
        <w:rPr>
          <w:rFonts w:ascii="Garamond" w:hAnsi="Garamond"/>
          <w:sz w:val="24"/>
          <w:szCs w:val="24"/>
        </w:rPr>
        <w:t xml:space="preserve"> </w:t>
      </w:r>
      <w:r w:rsidR="00E00FDF">
        <w:rPr>
          <w:rFonts w:ascii="Garamond" w:hAnsi="Garamond"/>
          <w:sz w:val="24"/>
          <w:szCs w:val="24"/>
        </w:rPr>
        <w:t xml:space="preserve">for positions above the limits as opposed to </w:t>
      </w:r>
      <w:r w:rsidR="0087682B">
        <w:rPr>
          <w:rFonts w:ascii="Garamond" w:hAnsi="Garamond"/>
          <w:sz w:val="24"/>
          <w:szCs w:val="24"/>
        </w:rPr>
        <w:t xml:space="preserve">those </w:t>
      </w:r>
      <w:r w:rsidR="00E00FDF">
        <w:rPr>
          <w:rFonts w:ascii="Garamond" w:hAnsi="Garamond"/>
          <w:sz w:val="24"/>
          <w:szCs w:val="24"/>
        </w:rPr>
        <w:t>below the limits</w:t>
      </w:r>
      <w:r w:rsidRPr="007A63FB">
        <w:rPr>
          <w:rFonts w:ascii="Garamond" w:hAnsi="Garamond"/>
          <w:sz w:val="24"/>
          <w:szCs w:val="24"/>
        </w:rPr>
        <w:t xml:space="preserve">?  After all, if the CFTC lowered the limit even further, would an otherwise </w:t>
      </w:r>
      <w:r w:rsidRPr="007A63FB">
        <w:rPr>
          <w:rFonts w:ascii="Garamond" w:hAnsi="Garamond"/>
          <w:i/>
          <w:sz w:val="24"/>
          <w:szCs w:val="24"/>
        </w:rPr>
        <w:t>bona fide</w:t>
      </w:r>
      <w:r w:rsidRPr="007A63FB">
        <w:rPr>
          <w:rFonts w:ascii="Garamond" w:hAnsi="Garamond"/>
          <w:sz w:val="24"/>
          <w:szCs w:val="24"/>
        </w:rPr>
        <w:t xml:space="preserve"> hedge somehow become less effective or less appropriate simply because the limit was lowered?  </w:t>
      </w:r>
    </w:p>
    <w:p w14:paraId="06ABE356" w14:textId="77777777" w:rsidR="00795E77" w:rsidRDefault="00795E77" w:rsidP="00CA225A">
      <w:pPr>
        <w:jc w:val="both"/>
        <w:rPr>
          <w:rFonts w:ascii="Garamond" w:hAnsi="Garamond"/>
          <w:sz w:val="24"/>
          <w:szCs w:val="24"/>
        </w:rPr>
      </w:pPr>
    </w:p>
    <w:p w14:paraId="72FAD42A" w14:textId="1E0F3818" w:rsidR="00F400AA" w:rsidRDefault="00F400AA" w:rsidP="00C76389">
      <w:pPr>
        <w:ind w:firstLine="720"/>
        <w:jc w:val="both"/>
        <w:rPr>
          <w:rFonts w:ascii="Garamond" w:hAnsi="Garamond"/>
          <w:sz w:val="24"/>
          <w:szCs w:val="24"/>
        </w:rPr>
      </w:pPr>
      <w:r w:rsidRPr="007A63FB">
        <w:rPr>
          <w:rFonts w:ascii="Garamond" w:hAnsi="Garamond"/>
          <w:sz w:val="24"/>
          <w:szCs w:val="24"/>
        </w:rPr>
        <w:t xml:space="preserve">CMC’s discussion about the types of risk that the CFTC should recognize in the context of </w:t>
      </w:r>
      <w:r>
        <w:rPr>
          <w:rFonts w:ascii="Garamond" w:hAnsi="Garamond"/>
          <w:sz w:val="24"/>
          <w:szCs w:val="24"/>
        </w:rPr>
        <w:t xml:space="preserve">the </w:t>
      </w:r>
      <w:r w:rsidR="003903EB">
        <w:rPr>
          <w:rFonts w:ascii="Garamond" w:hAnsi="Garamond"/>
          <w:sz w:val="24"/>
          <w:szCs w:val="24"/>
        </w:rPr>
        <w:t>“</w:t>
      </w:r>
      <w:r>
        <w:rPr>
          <w:rFonts w:ascii="Garamond" w:hAnsi="Garamond"/>
          <w:sz w:val="24"/>
          <w:szCs w:val="24"/>
        </w:rPr>
        <w:t>economically appropriate</w:t>
      </w:r>
      <w:r w:rsidR="003903EB">
        <w:rPr>
          <w:rFonts w:ascii="Garamond" w:hAnsi="Garamond"/>
          <w:sz w:val="24"/>
          <w:szCs w:val="24"/>
        </w:rPr>
        <w:t>”</w:t>
      </w:r>
      <w:r>
        <w:rPr>
          <w:rFonts w:ascii="Garamond" w:hAnsi="Garamond"/>
          <w:sz w:val="24"/>
          <w:szCs w:val="24"/>
        </w:rPr>
        <w:t xml:space="preserve"> test</w:t>
      </w:r>
      <w:r w:rsidRPr="007A63FB">
        <w:rPr>
          <w:rFonts w:ascii="Garamond" w:hAnsi="Garamond"/>
          <w:sz w:val="24"/>
          <w:szCs w:val="24"/>
        </w:rPr>
        <w:t xml:space="preserve"> </w:t>
      </w:r>
      <w:r w:rsidR="006F5584">
        <w:rPr>
          <w:rFonts w:ascii="Garamond" w:hAnsi="Garamond"/>
          <w:sz w:val="24"/>
          <w:szCs w:val="24"/>
        </w:rPr>
        <w:t>describes</w:t>
      </w:r>
      <w:r w:rsidRPr="007A63FB">
        <w:rPr>
          <w:rFonts w:ascii="Garamond" w:hAnsi="Garamond"/>
          <w:sz w:val="24"/>
          <w:szCs w:val="24"/>
        </w:rPr>
        <w:t xml:space="preserve"> how risk managers look at</w:t>
      </w:r>
      <w:r w:rsidR="006F5584">
        <w:rPr>
          <w:rFonts w:ascii="Garamond" w:hAnsi="Garamond"/>
          <w:sz w:val="24"/>
          <w:szCs w:val="24"/>
        </w:rPr>
        <w:t xml:space="preserve"> and hedge</w:t>
      </w:r>
      <w:r w:rsidRPr="007A63FB">
        <w:rPr>
          <w:rFonts w:ascii="Garamond" w:hAnsi="Garamond"/>
          <w:sz w:val="24"/>
          <w:szCs w:val="24"/>
        </w:rPr>
        <w:t xml:space="preserve"> risk today </w:t>
      </w:r>
      <w:r>
        <w:rPr>
          <w:rFonts w:ascii="Garamond" w:hAnsi="Garamond"/>
          <w:i/>
          <w:sz w:val="24"/>
          <w:szCs w:val="24"/>
        </w:rPr>
        <w:t>below</w:t>
      </w:r>
      <w:r w:rsidRPr="007A63FB">
        <w:rPr>
          <w:rFonts w:ascii="Garamond" w:hAnsi="Garamond"/>
          <w:sz w:val="24"/>
          <w:szCs w:val="24"/>
        </w:rPr>
        <w:t xml:space="preserve"> the limit and </w:t>
      </w:r>
      <w:r w:rsidR="00E075CA">
        <w:rPr>
          <w:rFonts w:ascii="Garamond" w:hAnsi="Garamond"/>
          <w:sz w:val="24"/>
          <w:szCs w:val="24"/>
        </w:rPr>
        <w:t>asks that the CFTC allow those same types of risks to be hedged in a similar manner</w:t>
      </w:r>
      <w:r w:rsidR="00E075CA" w:rsidRPr="007A63FB">
        <w:rPr>
          <w:rFonts w:ascii="Garamond" w:hAnsi="Garamond"/>
          <w:sz w:val="24"/>
          <w:szCs w:val="24"/>
        </w:rPr>
        <w:t xml:space="preserve"> </w:t>
      </w:r>
      <w:r w:rsidRPr="007A63FB">
        <w:rPr>
          <w:rFonts w:ascii="Garamond" w:hAnsi="Garamond"/>
          <w:sz w:val="24"/>
          <w:szCs w:val="24"/>
        </w:rPr>
        <w:lastRenderedPageBreak/>
        <w:t xml:space="preserve">above the limit so that risk management is not imperiled.  We recognize the importance of justifying hedge exemptions, but we believe </w:t>
      </w:r>
      <w:r w:rsidR="00C76389">
        <w:rPr>
          <w:rFonts w:ascii="Garamond" w:hAnsi="Garamond"/>
          <w:sz w:val="24"/>
          <w:szCs w:val="24"/>
        </w:rPr>
        <w:t xml:space="preserve">that </w:t>
      </w:r>
      <w:r w:rsidRPr="007A63FB">
        <w:rPr>
          <w:rFonts w:ascii="Garamond" w:hAnsi="Garamond"/>
          <w:sz w:val="24"/>
          <w:szCs w:val="24"/>
        </w:rPr>
        <w:t xml:space="preserve">the CFTC should recognize the reason and manner in which firms hedge risk </w:t>
      </w:r>
      <w:r w:rsidR="00E075CA">
        <w:rPr>
          <w:rFonts w:ascii="Garamond" w:hAnsi="Garamond"/>
          <w:sz w:val="24"/>
          <w:szCs w:val="24"/>
        </w:rPr>
        <w:t>and allow them to do so</w:t>
      </w:r>
      <w:r w:rsidRPr="007A63FB">
        <w:rPr>
          <w:rFonts w:ascii="Garamond" w:hAnsi="Garamond"/>
          <w:sz w:val="24"/>
          <w:szCs w:val="24"/>
        </w:rPr>
        <w:t xml:space="preserve"> both </w:t>
      </w:r>
      <w:r w:rsidR="00FB4E92">
        <w:rPr>
          <w:rFonts w:ascii="Garamond" w:hAnsi="Garamond"/>
          <w:sz w:val="24"/>
          <w:szCs w:val="24"/>
        </w:rPr>
        <w:t>below</w:t>
      </w:r>
      <w:r w:rsidRPr="007A63FB">
        <w:rPr>
          <w:rFonts w:ascii="Garamond" w:hAnsi="Garamond"/>
          <w:sz w:val="24"/>
          <w:szCs w:val="24"/>
        </w:rPr>
        <w:t xml:space="preserve"> and </w:t>
      </w:r>
      <w:r w:rsidR="00FB4E92">
        <w:rPr>
          <w:rFonts w:ascii="Garamond" w:hAnsi="Garamond"/>
          <w:sz w:val="24"/>
          <w:szCs w:val="24"/>
        </w:rPr>
        <w:t xml:space="preserve">above </w:t>
      </w:r>
      <w:r w:rsidRPr="007A63FB">
        <w:rPr>
          <w:rFonts w:ascii="Garamond" w:hAnsi="Garamond"/>
          <w:sz w:val="24"/>
          <w:szCs w:val="24"/>
        </w:rPr>
        <w:t>the position limit.</w:t>
      </w:r>
    </w:p>
    <w:p w14:paraId="09C361A8" w14:textId="77777777" w:rsidR="00DB4FC4" w:rsidRDefault="00DB4FC4" w:rsidP="00CA225A">
      <w:pPr>
        <w:jc w:val="both"/>
        <w:rPr>
          <w:rFonts w:ascii="Garamond" w:hAnsi="Garamond"/>
          <w:sz w:val="24"/>
          <w:szCs w:val="24"/>
        </w:rPr>
      </w:pPr>
    </w:p>
    <w:p w14:paraId="16EFD567" w14:textId="29B1153C" w:rsidR="00DB4FC4" w:rsidRPr="00F04B94" w:rsidRDefault="00DB4FC4" w:rsidP="00E2580A">
      <w:pPr>
        <w:pStyle w:val="ListParagraph"/>
        <w:numPr>
          <w:ilvl w:val="1"/>
          <w:numId w:val="20"/>
        </w:numPr>
        <w:jc w:val="both"/>
        <w:rPr>
          <w:rFonts w:ascii="Garamond" w:hAnsi="Garamond"/>
          <w:b/>
        </w:rPr>
      </w:pPr>
      <w:r>
        <w:rPr>
          <w:rFonts w:ascii="Garamond" w:hAnsi="Garamond"/>
          <w:b/>
        </w:rPr>
        <w:t>Gross V</w:t>
      </w:r>
      <w:r w:rsidRPr="00F04B94">
        <w:rPr>
          <w:rFonts w:ascii="Garamond" w:hAnsi="Garamond"/>
          <w:b/>
        </w:rPr>
        <w:t>ersus Net Hedging</w:t>
      </w:r>
    </w:p>
    <w:p w14:paraId="2800AA61" w14:textId="42A58219" w:rsidR="009C6738" w:rsidRDefault="00DB4FC4" w:rsidP="001B6515">
      <w:pPr>
        <w:pStyle w:val="NormalWeb"/>
        <w:ind w:firstLine="720"/>
        <w:jc w:val="both"/>
        <w:rPr>
          <w:rFonts w:ascii="Garamond" w:hAnsi="Garamond"/>
          <w:sz w:val="24"/>
          <w:szCs w:val="24"/>
        </w:rPr>
      </w:pPr>
      <w:r w:rsidRPr="00951438">
        <w:rPr>
          <w:rFonts w:ascii="Garamond" w:eastAsia="Times New Roman" w:hAnsi="Garamond"/>
          <w:sz w:val="24"/>
          <w:szCs w:val="24"/>
        </w:rPr>
        <w:t xml:space="preserve">The Commission uses concepts of “gross hedging” and “net hedging” in its discussion of the </w:t>
      </w:r>
      <w:r w:rsidR="003903EB">
        <w:rPr>
          <w:rFonts w:ascii="Garamond" w:eastAsia="Times New Roman" w:hAnsi="Garamond"/>
          <w:sz w:val="24"/>
          <w:szCs w:val="24"/>
        </w:rPr>
        <w:t>“</w:t>
      </w:r>
      <w:r w:rsidRPr="00951438">
        <w:rPr>
          <w:rFonts w:ascii="Garamond" w:eastAsia="Times New Roman" w:hAnsi="Garamond"/>
          <w:sz w:val="24"/>
          <w:szCs w:val="24"/>
        </w:rPr>
        <w:t>economically appropriate</w:t>
      </w:r>
      <w:r w:rsidR="003903EB">
        <w:rPr>
          <w:rFonts w:ascii="Garamond" w:eastAsia="Times New Roman" w:hAnsi="Garamond"/>
          <w:sz w:val="24"/>
          <w:szCs w:val="24"/>
        </w:rPr>
        <w:t>”</w:t>
      </w:r>
      <w:r w:rsidRPr="00951438">
        <w:rPr>
          <w:rFonts w:ascii="Garamond" w:eastAsia="Times New Roman" w:hAnsi="Garamond"/>
          <w:sz w:val="24"/>
          <w:szCs w:val="24"/>
        </w:rPr>
        <w:t xml:space="preserve"> requirement.  However, these terms are not separately defined and the context in which they appear does not fully inform their meaning.  CMC understands </w:t>
      </w:r>
      <w:r w:rsidR="003903EB">
        <w:rPr>
          <w:rFonts w:ascii="Garamond" w:eastAsia="Times New Roman" w:hAnsi="Garamond"/>
          <w:sz w:val="24"/>
          <w:szCs w:val="24"/>
        </w:rPr>
        <w:t>“</w:t>
      </w:r>
      <w:r w:rsidRPr="00951438">
        <w:rPr>
          <w:rFonts w:ascii="Garamond" w:eastAsia="Times New Roman" w:hAnsi="Garamond"/>
          <w:sz w:val="24"/>
          <w:szCs w:val="24"/>
        </w:rPr>
        <w:t>gross</w:t>
      </w:r>
      <w:r w:rsidR="00C54FD0">
        <w:rPr>
          <w:rFonts w:ascii="Garamond" w:eastAsia="Times New Roman" w:hAnsi="Garamond"/>
          <w:sz w:val="24"/>
          <w:szCs w:val="24"/>
        </w:rPr>
        <w:t xml:space="preserve"> hedging</w:t>
      </w:r>
      <w:r w:rsidR="003903EB">
        <w:rPr>
          <w:rFonts w:ascii="Garamond" w:eastAsia="Times New Roman" w:hAnsi="Garamond"/>
          <w:sz w:val="24"/>
          <w:szCs w:val="24"/>
        </w:rPr>
        <w:t>”</w:t>
      </w:r>
      <w:r w:rsidR="00C54FD0">
        <w:rPr>
          <w:rFonts w:ascii="Garamond" w:eastAsia="Times New Roman" w:hAnsi="Garamond"/>
          <w:sz w:val="24"/>
          <w:szCs w:val="24"/>
        </w:rPr>
        <w:t xml:space="preserve"> to be the practice of independently </w:t>
      </w:r>
      <w:r w:rsidRPr="00951438">
        <w:rPr>
          <w:rFonts w:ascii="Garamond" w:eastAsia="Times New Roman" w:hAnsi="Garamond"/>
          <w:sz w:val="24"/>
          <w:szCs w:val="24"/>
        </w:rPr>
        <w:t xml:space="preserve">hedging each of two or more </w:t>
      </w:r>
      <w:r w:rsidR="00C54FD0">
        <w:rPr>
          <w:rFonts w:ascii="Garamond" w:eastAsia="Times New Roman" w:hAnsi="Garamond"/>
          <w:sz w:val="24"/>
          <w:szCs w:val="24"/>
        </w:rPr>
        <w:t>cash market price risk positions</w:t>
      </w:r>
      <w:r w:rsidRPr="00951438">
        <w:rPr>
          <w:rFonts w:ascii="Garamond" w:eastAsia="Times New Roman" w:hAnsi="Garamond"/>
          <w:sz w:val="24"/>
          <w:szCs w:val="24"/>
        </w:rPr>
        <w:t xml:space="preserve">.  For example, a firm may have three purchase contracts for wheat: one from Russia, the second from Brazil and the third from Australia, and such firm may have one sale contract for wheat, perhaps for delivery in China.  Under a </w:t>
      </w:r>
      <w:r w:rsidR="003903EB">
        <w:rPr>
          <w:rFonts w:ascii="Garamond" w:eastAsia="Times New Roman" w:hAnsi="Garamond"/>
          <w:sz w:val="24"/>
          <w:szCs w:val="24"/>
        </w:rPr>
        <w:t>“</w:t>
      </w:r>
      <w:r w:rsidRPr="00951438">
        <w:rPr>
          <w:rFonts w:ascii="Garamond" w:eastAsia="Times New Roman" w:hAnsi="Garamond"/>
          <w:sz w:val="24"/>
          <w:szCs w:val="24"/>
        </w:rPr>
        <w:t>gross hedging</w:t>
      </w:r>
      <w:r w:rsidR="003903EB">
        <w:rPr>
          <w:rFonts w:ascii="Garamond" w:eastAsia="Times New Roman" w:hAnsi="Garamond"/>
          <w:sz w:val="24"/>
          <w:szCs w:val="24"/>
        </w:rPr>
        <w:t>”</w:t>
      </w:r>
      <w:r w:rsidRPr="00951438">
        <w:rPr>
          <w:rFonts w:ascii="Garamond" w:eastAsia="Times New Roman" w:hAnsi="Garamond"/>
          <w:sz w:val="24"/>
          <w:szCs w:val="24"/>
        </w:rPr>
        <w:t xml:space="preserve"> approach, the firm might enter into three short derivatives trades, each to hedge a specific purchase contract, and one long derivatives </w:t>
      </w:r>
      <w:r w:rsidR="00795E77">
        <w:rPr>
          <w:rFonts w:ascii="Garamond" w:eastAsia="Times New Roman" w:hAnsi="Garamond"/>
          <w:sz w:val="24"/>
          <w:szCs w:val="24"/>
        </w:rPr>
        <w:t>contract</w:t>
      </w:r>
      <w:r w:rsidR="00E00FDF" w:rsidRPr="00951438">
        <w:rPr>
          <w:rFonts w:ascii="Garamond" w:eastAsia="Times New Roman" w:hAnsi="Garamond"/>
          <w:sz w:val="24"/>
          <w:szCs w:val="24"/>
        </w:rPr>
        <w:t xml:space="preserve"> </w:t>
      </w:r>
      <w:r w:rsidRPr="00951438">
        <w:rPr>
          <w:rFonts w:ascii="Garamond" w:eastAsia="Times New Roman" w:hAnsi="Garamond"/>
          <w:sz w:val="24"/>
          <w:szCs w:val="24"/>
        </w:rPr>
        <w:t xml:space="preserve">to hedge the sale contract.   </w:t>
      </w:r>
      <w:r w:rsidR="003903EB">
        <w:rPr>
          <w:rFonts w:ascii="Garamond" w:eastAsia="Times New Roman" w:hAnsi="Garamond"/>
          <w:sz w:val="24"/>
          <w:szCs w:val="24"/>
        </w:rPr>
        <w:t>“</w:t>
      </w:r>
      <w:r w:rsidRPr="00951438">
        <w:rPr>
          <w:rFonts w:ascii="Garamond" w:eastAsia="Times New Roman" w:hAnsi="Garamond"/>
          <w:sz w:val="24"/>
          <w:szCs w:val="24"/>
        </w:rPr>
        <w:t>Net hedging</w:t>
      </w:r>
      <w:r w:rsidR="003903EB">
        <w:rPr>
          <w:rFonts w:ascii="Garamond" w:eastAsia="Times New Roman" w:hAnsi="Garamond"/>
          <w:sz w:val="24"/>
          <w:szCs w:val="24"/>
        </w:rPr>
        <w:t>”</w:t>
      </w:r>
      <w:r w:rsidRPr="00951438">
        <w:rPr>
          <w:rFonts w:ascii="Garamond" w:eastAsia="Times New Roman" w:hAnsi="Garamond"/>
          <w:sz w:val="24"/>
          <w:szCs w:val="24"/>
        </w:rPr>
        <w:t xml:space="preserve"> happens when that firm nets its purchase and sale contracts to a net long </w:t>
      </w:r>
      <w:r w:rsidR="00C54FD0">
        <w:rPr>
          <w:rFonts w:ascii="Garamond" w:eastAsia="Times New Roman" w:hAnsi="Garamond"/>
          <w:sz w:val="24"/>
          <w:szCs w:val="24"/>
        </w:rPr>
        <w:t xml:space="preserve">(or short) </w:t>
      </w:r>
      <w:r w:rsidRPr="00951438">
        <w:rPr>
          <w:rFonts w:ascii="Garamond" w:eastAsia="Times New Roman" w:hAnsi="Garamond"/>
          <w:sz w:val="24"/>
          <w:szCs w:val="24"/>
        </w:rPr>
        <w:t xml:space="preserve">position and then offsets that </w:t>
      </w:r>
      <w:r w:rsidR="00C54FD0">
        <w:rPr>
          <w:rFonts w:ascii="Garamond" w:eastAsia="Times New Roman" w:hAnsi="Garamond"/>
          <w:sz w:val="24"/>
          <w:szCs w:val="24"/>
        </w:rPr>
        <w:t xml:space="preserve">residual </w:t>
      </w:r>
      <w:r w:rsidRPr="00951438">
        <w:rPr>
          <w:rFonts w:ascii="Garamond" w:eastAsia="Times New Roman" w:hAnsi="Garamond"/>
          <w:sz w:val="24"/>
          <w:szCs w:val="24"/>
        </w:rPr>
        <w:t>risk by entering into derivatives transactions</w:t>
      </w:r>
      <w:r w:rsidR="00C54FD0">
        <w:rPr>
          <w:rFonts w:ascii="Garamond" w:eastAsia="Times New Roman" w:hAnsi="Garamond"/>
          <w:sz w:val="24"/>
          <w:szCs w:val="24"/>
        </w:rPr>
        <w:t xml:space="preserve"> reflective of net risk exposure</w:t>
      </w:r>
      <w:r w:rsidRPr="00951438">
        <w:rPr>
          <w:rFonts w:ascii="Garamond" w:eastAsia="Times New Roman" w:hAnsi="Garamond"/>
          <w:sz w:val="24"/>
          <w:szCs w:val="24"/>
        </w:rPr>
        <w:t xml:space="preserve">. </w:t>
      </w:r>
      <w:r>
        <w:rPr>
          <w:rFonts w:ascii="Garamond" w:eastAsia="Times New Roman" w:hAnsi="Garamond"/>
          <w:sz w:val="24"/>
          <w:szCs w:val="24"/>
        </w:rPr>
        <w:t xml:space="preserve"> </w:t>
      </w:r>
      <w:r w:rsidRPr="00951438">
        <w:rPr>
          <w:rFonts w:ascii="Garamond" w:eastAsia="Times New Roman" w:hAnsi="Garamond"/>
          <w:sz w:val="24"/>
          <w:szCs w:val="24"/>
        </w:rPr>
        <w:t xml:space="preserve">CMC asks </w:t>
      </w:r>
      <w:r w:rsidR="000C2187">
        <w:rPr>
          <w:rFonts w:ascii="Garamond" w:eastAsia="Times New Roman" w:hAnsi="Garamond"/>
          <w:sz w:val="24"/>
          <w:szCs w:val="24"/>
        </w:rPr>
        <w:t>the Commission</w:t>
      </w:r>
      <w:r w:rsidRPr="00951438">
        <w:rPr>
          <w:rFonts w:ascii="Garamond" w:eastAsia="Times New Roman" w:hAnsi="Garamond"/>
          <w:sz w:val="24"/>
          <w:szCs w:val="24"/>
        </w:rPr>
        <w:t xml:space="preserve"> to (</w:t>
      </w:r>
      <w:proofErr w:type="spellStart"/>
      <w:r w:rsidRPr="00951438">
        <w:rPr>
          <w:rFonts w:ascii="Garamond" w:eastAsia="Times New Roman" w:hAnsi="Garamond"/>
          <w:sz w:val="24"/>
          <w:szCs w:val="24"/>
        </w:rPr>
        <w:t>i</w:t>
      </w:r>
      <w:proofErr w:type="spellEnd"/>
      <w:r w:rsidRPr="00951438">
        <w:rPr>
          <w:rFonts w:ascii="Garamond" w:eastAsia="Times New Roman" w:hAnsi="Garamond"/>
          <w:sz w:val="24"/>
          <w:szCs w:val="24"/>
        </w:rPr>
        <w:t xml:space="preserve">) remove any references in the </w:t>
      </w:r>
      <w:r>
        <w:rPr>
          <w:rFonts w:ascii="Garamond" w:eastAsia="Times New Roman" w:hAnsi="Garamond"/>
          <w:sz w:val="24"/>
          <w:szCs w:val="24"/>
        </w:rPr>
        <w:t>proposal</w:t>
      </w:r>
      <w:r w:rsidRPr="00951438">
        <w:rPr>
          <w:rFonts w:ascii="Garamond" w:eastAsia="Times New Roman" w:hAnsi="Garamond"/>
          <w:sz w:val="24"/>
          <w:szCs w:val="24"/>
        </w:rPr>
        <w:t xml:space="preserve"> that limit the ability of end-users to utilize both “gross hedging” and “net hedging” concepts</w:t>
      </w:r>
      <w:r w:rsidR="000C2187">
        <w:rPr>
          <w:rFonts w:ascii="Garamond" w:eastAsia="Times New Roman" w:hAnsi="Garamond"/>
          <w:sz w:val="24"/>
          <w:szCs w:val="24"/>
        </w:rPr>
        <w:t>,</w:t>
      </w:r>
      <w:r w:rsidRPr="00951438">
        <w:rPr>
          <w:rFonts w:ascii="Garamond" w:eastAsia="Times New Roman" w:hAnsi="Garamond"/>
          <w:sz w:val="24"/>
          <w:szCs w:val="24"/>
        </w:rPr>
        <w:t xml:space="preserve"> and (ii) affirm that each of these methods entail derivatives that would be eligible for </w:t>
      </w:r>
      <w:r w:rsidRPr="00A0178B">
        <w:rPr>
          <w:rFonts w:ascii="Garamond" w:eastAsia="Times New Roman" w:hAnsi="Garamond"/>
          <w:i/>
          <w:sz w:val="24"/>
          <w:szCs w:val="24"/>
        </w:rPr>
        <w:t>bona fide</w:t>
      </w:r>
      <w:r w:rsidRPr="00951438">
        <w:rPr>
          <w:rFonts w:ascii="Garamond" w:eastAsia="Times New Roman" w:hAnsi="Garamond"/>
          <w:sz w:val="24"/>
          <w:szCs w:val="24"/>
        </w:rPr>
        <w:t xml:space="preserve"> hedging treatment.  Additionally, when utilizing </w:t>
      </w:r>
      <w:r w:rsidR="003903EB">
        <w:rPr>
          <w:rFonts w:ascii="Garamond" w:eastAsia="Times New Roman" w:hAnsi="Garamond"/>
          <w:sz w:val="24"/>
          <w:szCs w:val="24"/>
        </w:rPr>
        <w:t>“</w:t>
      </w:r>
      <w:r w:rsidRPr="00951438">
        <w:rPr>
          <w:rFonts w:ascii="Garamond" w:eastAsia="Times New Roman" w:hAnsi="Garamond"/>
          <w:sz w:val="24"/>
          <w:szCs w:val="24"/>
        </w:rPr>
        <w:t>gross hedging,</w:t>
      </w:r>
      <w:r w:rsidR="003903EB">
        <w:rPr>
          <w:rFonts w:ascii="Garamond" w:eastAsia="Times New Roman" w:hAnsi="Garamond"/>
          <w:sz w:val="24"/>
          <w:szCs w:val="24"/>
        </w:rPr>
        <w:t>”</w:t>
      </w:r>
      <w:r w:rsidRPr="00951438">
        <w:rPr>
          <w:rFonts w:ascii="Garamond" w:eastAsia="Times New Roman" w:hAnsi="Garamond"/>
          <w:sz w:val="24"/>
          <w:szCs w:val="24"/>
        </w:rPr>
        <w:t xml:space="preserve"> firms should have the flexibility to hedge either the gross long or the gross short when this is the most </w:t>
      </w:r>
      <w:r w:rsidR="003903EB">
        <w:rPr>
          <w:rFonts w:ascii="Garamond" w:eastAsia="Times New Roman" w:hAnsi="Garamond"/>
          <w:sz w:val="24"/>
          <w:szCs w:val="24"/>
        </w:rPr>
        <w:t>“</w:t>
      </w:r>
      <w:r w:rsidRPr="00951438">
        <w:rPr>
          <w:rFonts w:ascii="Garamond" w:eastAsia="Times New Roman" w:hAnsi="Garamond"/>
          <w:sz w:val="24"/>
          <w:szCs w:val="24"/>
        </w:rPr>
        <w:t>economically appropriate</w:t>
      </w:r>
      <w:r w:rsidR="003903EB">
        <w:rPr>
          <w:rFonts w:ascii="Garamond" w:eastAsia="Times New Roman" w:hAnsi="Garamond"/>
          <w:sz w:val="24"/>
          <w:szCs w:val="24"/>
        </w:rPr>
        <w:t>”</w:t>
      </w:r>
      <w:r w:rsidRPr="00951438">
        <w:rPr>
          <w:rFonts w:ascii="Garamond" w:eastAsia="Times New Roman" w:hAnsi="Garamond"/>
          <w:sz w:val="24"/>
          <w:szCs w:val="24"/>
        </w:rPr>
        <w:t xml:space="preserve"> risk management position. </w:t>
      </w:r>
    </w:p>
    <w:p w14:paraId="4C693A6B" w14:textId="2120AA8D" w:rsidR="00C27B20" w:rsidRPr="009C6738" w:rsidRDefault="009C6738" w:rsidP="009C6738">
      <w:pPr>
        <w:pStyle w:val="ListParagraph"/>
        <w:numPr>
          <w:ilvl w:val="1"/>
          <w:numId w:val="20"/>
        </w:numPr>
        <w:jc w:val="both"/>
        <w:rPr>
          <w:rFonts w:ascii="Garamond" w:hAnsi="Garamond"/>
          <w:b/>
        </w:rPr>
      </w:pPr>
      <w:r w:rsidRPr="009C6738">
        <w:rPr>
          <w:rFonts w:ascii="Garamond" w:hAnsi="Garamond"/>
          <w:b/>
        </w:rPr>
        <w:t>Enumerated Hedges</w:t>
      </w:r>
    </w:p>
    <w:p w14:paraId="2DAF6896" w14:textId="77777777" w:rsidR="005B2246" w:rsidRDefault="005B2246" w:rsidP="009C6738">
      <w:pPr>
        <w:jc w:val="both"/>
        <w:rPr>
          <w:rFonts w:ascii="Garamond" w:hAnsi="Garamond"/>
          <w:sz w:val="24"/>
          <w:szCs w:val="24"/>
        </w:rPr>
      </w:pPr>
    </w:p>
    <w:p w14:paraId="4535C023" w14:textId="48E7A1CC" w:rsidR="00397293" w:rsidRDefault="00D1788F" w:rsidP="001B6515">
      <w:pPr>
        <w:ind w:firstLine="720"/>
        <w:jc w:val="both"/>
        <w:rPr>
          <w:rFonts w:ascii="Garamond" w:hAnsi="Garamond"/>
          <w:sz w:val="24"/>
          <w:szCs w:val="24"/>
        </w:rPr>
      </w:pPr>
      <w:r>
        <w:rPr>
          <w:rFonts w:ascii="Garamond" w:hAnsi="Garamond"/>
          <w:sz w:val="24"/>
          <w:szCs w:val="24"/>
        </w:rPr>
        <w:t>CMC</w:t>
      </w:r>
      <w:r w:rsidR="00D523E2">
        <w:rPr>
          <w:rFonts w:ascii="Garamond" w:hAnsi="Garamond"/>
          <w:sz w:val="24"/>
          <w:szCs w:val="24"/>
        </w:rPr>
        <w:t xml:space="preserve"> </w:t>
      </w:r>
      <w:r w:rsidR="00874827">
        <w:rPr>
          <w:rFonts w:ascii="Garamond" w:hAnsi="Garamond"/>
          <w:sz w:val="24"/>
          <w:szCs w:val="24"/>
        </w:rPr>
        <w:t>requests</w:t>
      </w:r>
      <w:r>
        <w:rPr>
          <w:rFonts w:ascii="Garamond" w:hAnsi="Garamond"/>
          <w:sz w:val="24"/>
          <w:szCs w:val="24"/>
        </w:rPr>
        <w:t xml:space="preserve"> that</w:t>
      </w:r>
      <w:r w:rsidR="00E72A56">
        <w:rPr>
          <w:rFonts w:ascii="Garamond" w:hAnsi="Garamond"/>
          <w:sz w:val="24"/>
          <w:szCs w:val="24"/>
        </w:rPr>
        <w:t xml:space="preserve"> the </w:t>
      </w:r>
      <w:r w:rsidR="00194A52">
        <w:rPr>
          <w:rFonts w:ascii="Garamond" w:hAnsi="Garamond"/>
          <w:sz w:val="24"/>
          <w:szCs w:val="24"/>
        </w:rPr>
        <w:t xml:space="preserve">scope of recognized or enumerated hedging exemptions in any final </w:t>
      </w:r>
      <w:r w:rsidR="00F16643">
        <w:rPr>
          <w:rFonts w:ascii="Garamond" w:hAnsi="Garamond"/>
          <w:sz w:val="24"/>
          <w:szCs w:val="24"/>
        </w:rPr>
        <w:t xml:space="preserve">position limits </w:t>
      </w:r>
      <w:r w:rsidR="00194A52">
        <w:rPr>
          <w:rFonts w:ascii="Garamond" w:hAnsi="Garamond"/>
          <w:sz w:val="24"/>
          <w:szCs w:val="24"/>
        </w:rPr>
        <w:t xml:space="preserve">rule include the full scope of anticipatory hedging activities </w:t>
      </w:r>
      <w:r w:rsidR="00C956C1">
        <w:rPr>
          <w:rFonts w:ascii="Garamond" w:hAnsi="Garamond"/>
          <w:sz w:val="24"/>
          <w:szCs w:val="24"/>
        </w:rPr>
        <w:t xml:space="preserve">– in particular, </w:t>
      </w:r>
      <w:r w:rsidR="003D6939">
        <w:rPr>
          <w:rFonts w:ascii="Garamond" w:hAnsi="Garamond"/>
          <w:sz w:val="24"/>
          <w:szCs w:val="24"/>
        </w:rPr>
        <w:t xml:space="preserve">anticipatory merchandising </w:t>
      </w:r>
      <w:r w:rsidR="00C956C1">
        <w:rPr>
          <w:rFonts w:ascii="Garamond" w:hAnsi="Garamond"/>
          <w:sz w:val="24"/>
          <w:szCs w:val="24"/>
        </w:rPr>
        <w:t>and anticipatory processing hedges</w:t>
      </w:r>
      <w:proofErr w:type="gramStart"/>
      <w:r w:rsidR="00E075CA">
        <w:rPr>
          <w:rFonts w:ascii="Garamond" w:hAnsi="Garamond"/>
          <w:sz w:val="24"/>
          <w:szCs w:val="24"/>
        </w:rPr>
        <w:t>,</w:t>
      </w:r>
      <w:r w:rsidR="00C956C1">
        <w:rPr>
          <w:rFonts w:ascii="Garamond" w:hAnsi="Garamond"/>
          <w:sz w:val="24"/>
          <w:szCs w:val="24"/>
        </w:rPr>
        <w:t xml:space="preserve">  and</w:t>
      </w:r>
      <w:proofErr w:type="gramEnd"/>
      <w:r w:rsidR="00CE0EC6">
        <w:rPr>
          <w:rFonts w:ascii="Garamond" w:hAnsi="Garamond"/>
          <w:sz w:val="24"/>
          <w:szCs w:val="24"/>
        </w:rPr>
        <w:t xml:space="preserve"> </w:t>
      </w:r>
      <w:r w:rsidR="00F10E6E">
        <w:rPr>
          <w:rFonts w:ascii="Garamond" w:hAnsi="Garamond"/>
          <w:sz w:val="24"/>
          <w:szCs w:val="24"/>
        </w:rPr>
        <w:t>cross commodity hedges</w:t>
      </w:r>
      <w:r w:rsidR="00C956C1">
        <w:rPr>
          <w:rFonts w:ascii="Garamond" w:hAnsi="Garamond"/>
          <w:sz w:val="24"/>
          <w:szCs w:val="24"/>
        </w:rPr>
        <w:t>.</w:t>
      </w:r>
      <w:r w:rsidR="0094141F">
        <w:rPr>
          <w:rFonts w:ascii="Garamond" w:hAnsi="Garamond"/>
          <w:sz w:val="24"/>
          <w:szCs w:val="24"/>
        </w:rPr>
        <w:t xml:space="preserve">  </w:t>
      </w:r>
    </w:p>
    <w:p w14:paraId="3A18D4F5" w14:textId="77777777" w:rsidR="00397293" w:rsidRDefault="00397293" w:rsidP="009C6738">
      <w:pPr>
        <w:jc w:val="both"/>
        <w:rPr>
          <w:rFonts w:ascii="Garamond" w:hAnsi="Garamond"/>
          <w:sz w:val="24"/>
          <w:szCs w:val="24"/>
        </w:rPr>
      </w:pPr>
    </w:p>
    <w:p w14:paraId="65AE9777" w14:textId="4424A4C2" w:rsidR="00397293" w:rsidRPr="00A21525" w:rsidRDefault="00397293" w:rsidP="00A21525">
      <w:pPr>
        <w:pStyle w:val="ListParagraph"/>
        <w:numPr>
          <w:ilvl w:val="2"/>
          <w:numId w:val="20"/>
        </w:numPr>
        <w:jc w:val="both"/>
        <w:rPr>
          <w:rFonts w:ascii="Garamond" w:hAnsi="Garamond"/>
          <w:b/>
        </w:rPr>
      </w:pPr>
      <w:r w:rsidRPr="00A21525">
        <w:rPr>
          <w:rFonts w:ascii="Garamond" w:hAnsi="Garamond"/>
          <w:b/>
        </w:rPr>
        <w:t xml:space="preserve">Anticipatory Merchandising </w:t>
      </w:r>
      <w:r>
        <w:rPr>
          <w:rFonts w:ascii="Garamond" w:hAnsi="Garamond"/>
          <w:b/>
        </w:rPr>
        <w:t>Hedges</w:t>
      </w:r>
    </w:p>
    <w:p w14:paraId="34E28337" w14:textId="77777777" w:rsidR="00397293" w:rsidRPr="00A21525" w:rsidRDefault="00397293" w:rsidP="00A21525">
      <w:pPr>
        <w:ind w:left="1980"/>
        <w:jc w:val="both"/>
        <w:rPr>
          <w:rFonts w:ascii="Garamond" w:hAnsi="Garamond"/>
          <w:b/>
        </w:rPr>
      </w:pPr>
    </w:p>
    <w:p w14:paraId="5EC67C8D" w14:textId="7936E7F9" w:rsidR="007A379E" w:rsidRDefault="00874827" w:rsidP="001B6515">
      <w:pPr>
        <w:ind w:firstLine="720"/>
        <w:jc w:val="both"/>
        <w:rPr>
          <w:rFonts w:ascii="Garamond" w:hAnsi="Garamond"/>
          <w:sz w:val="24"/>
          <w:szCs w:val="24"/>
        </w:rPr>
      </w:pPr>
      <w:r>
        <w:rPr>
          <w:rFonts w:ascii="Garamond" w:hAnsi="Garamond"/>
          <w:sz w:val="24"/>
          <w:szCs w:val="24"/>
        </w:rPr>
        <w:t>CMC appreciates the Commission’s recognition o</w:t>
      </w:r>
      <w:r w:rsidR="00E075CA">
        <w:rPr>
          <w:rFonts w:ascii="Garamond" w:hAnsi="Garamond"/>
          <w:sz w:val="24"/>
          <w:szCs w:val="24"/>
        </w:rPr>
        <w:t>f</w:t>
      </w:r>
      <w:r>
        <w:rPr>
          <w:rFonts w:ascii="Garamond" w:hAnsi="Garamond"/>
          <w:sz w:val="24"/>
          <w:szCs w:val="24"/>
        </w:rPr>
        <w:t xml:space="preserve"> the importance to farmers, processors, and producers, </w:t>
      </w:r>
      <w:r w:rsidR="00E075CA">
        <w:rPr>
          <w:rFonts w:ascii="Garamond" w:hAnsi="Garamond"/>
          <w:sz w:val="24"/>
          <w:szCs w:val="24"/>
        </w:rPr>
        <w:t xml:space="preserve">for </w:t>
      </w:r>
      <w:r>
        <w:rPr>
          <w:rFonts w:ascii="Garamond" w:hAnsi="Garamond"/>
          <w:sz w:val="24"/>
          <w:szCs w:val="24"/>
        </w:rPr>
        <w:t>the need to access cost-effective hedging to protect against anticipated risks, as Congress intended.</w:t>
      </w:r>
      <w:r>
        <w:rPr>
          <w:rStyle w:val="FootnoteReference"/>
          <w:rFonts w:ascii="Garamond" w:hAnsi="Garamond"/>
          <w:sz w:val="24"/>
          <w:szCs w:val="24"/>
        </w:rPr>
        <w:footnoteReference w:id="12"/>
      </w:r>
      <w:r>
        <w:rPr>
          <w:rFonts w:ascii="Garamond" w:hAnsi="Garamond"/>
          <w:sz w:val="24"/>
          <w:szCs w:val="24"/>
        </w:rPr>
        <w:t xml:space="preserve">  </w:t>
      </w:r>
      <w:r w:rsidR="00F10E6E">
        <w:rPr>
          <w:rFonts w:ascii="Garamond" w:hAnsi="Garamond"/>
          <w:sz w:val="24"/>
          <w:szCs w:val="24"/>
        </w:rPr>
        <w:t xml:space="preserve">CEA Section 4(a)(c)(2)(A)(iii) expressly defines </w:t>
      </w:r>
      <w:r w:rsidR="00F10E6E">
        <w:rPr>
          <w:rFonts w:ascii="Garamond" w:hAnsi="Garamond"/>
          <w:i/>
          <w:sz w:val="24"/>
          <w:szCs w:val="24"/>
        </w:rPr>
        <w:t xml:space="preserve">bona fide </w:t>
      </w:r>
      <w:r w:rsidR="0066264F">
        <w:rPr>
          <w:rFonts w:ascii="Garamond" w:hAnsi="Garamond"/>
          <w:sz w:val="24"/>
          <w:szCs w:val="24"/>
        </w:rPr>
        <w:t>hedging transac</w:t>
      </w:r>
      <w:r w:rsidR="00346BCA">
        <w:rPr>
          <w:rFonts w:ascii="Garamond" w:hAnsi="Garamond"/>
          <w:sz w:val="24"/>
          <w:szCs w:val="24"/>
        </w:rPr>
        <w:t xml:space="preserve">tions and positions as “assets that a person owns, produces, manufactures, processes, or </w:t>
      </w:r>
      <w:r w:rsidR="00346BCA" w:rsidRPr="005B2246">
        <w:rPr>
          <w:rFonts w:ascii="Garamond" w:hAnsi="Garamond"/>
          <w:b/>
          <w:i/>
          <w:sz w:val="24"/>
          <w:szCs w:val="24"/>
        </w:rPr>
        <w:t>merchandises</w:t>
      </w:r>
      <w:r w:rsidR="00346BCA">
        <w:rPr>
          <w:rFonts w:ascii="Garamond" w:hAnsi="Garamond"/>
          <w:sz w:val="24"/>
          <w:szCs w:val="24"/>
        </w:rPr>
        <w:t xml:space="preserve">, or </w:t>
      </w:r>
      <w:r w:rsidR="00346BCA" w:rsidRPr="005B2246">
        <w:rPr>
          <w:rFonts w:ascii="Garamond" w:hAnsi="Garamond"/>
          <w:b/>
          <w:i/>
          <w:sz w:val="24"/>
          <w:szCs w:val="24"/>
        </w:rPr>
        <w:t>anticipates</w:t>
      </w:r>
      <w:r w:rsidR="00346BCA">
        <w:rPr>
          <w:rFonts w:ascii="Garamond" w:hAnsi="Garamond"/>
          <w:sz w:val="24"/>
          <w:szCs w:val="24"/>
        </w:rPr>
        <w:t xml:space="preserve"> owning, producing, manufacturing, processing or </w:t>
      </w:r>
      <w:r w:rsidR="00346BCA" w:rsidRPr="005B2246">
        <w:rPr>
          <w:rFonts w:ascii="Garamond" w:hAnsi="Garamond"/>
          <w:b/>
          <w:i/>
          <w:sz w:val="24"/>
          <w:szCs w:val="24"/>
        </w:rPr>
        <w:t>merchandising</w:t>
      </w:r>
      <w:r w:rsidR="005B2246">
        <w:rPr>
          <w:rFonts w:ascii="Garamond" w:hAnsi="Garamond"/>
          <w:sz w:val="24"/>
          <w:szCs w:val="24"/>
        </w:rPr>
        <w:t xml:space="preserve">.”  </w:t>
      </w:r>
      <w:r w:rsidR="008824C9">
        <w:rPr>
          <w:rFonts w:ascii="Garamond" w:hAnsi="Garamond"/>
          <w:sz w:val="24"/>
          <w:szCs w:val="24"/>
        </w:rPr>
        <w:t xml:space="preserve">As can be seen, anticipatory merchandising is statutorily recognized as a </w:t>
      </w:r>
      <w:r w:rsidR="008824C9">
        <w:rPr>
          <w:rFonts w:ascii="Garamond" w:hAnsi="Garamond"/>
          <w:i/>
          <w:sz w:val="24"/>
          <w:szCs w:val="24"/>
        </w:rPr>
        <w:t xml:space="preserve">bona fide </w:t>
      </w:r>
      <w:r w:rsidR="008824C9">
        <w:rPr>
          <w:rFonts w:ascii="Garamond" w:hAnsi="Garamond"/>
          <w:sz w:val="24"/>
          <w:szCs w:val="24"/>
        </w:rPr>
        <w:t>hedge in the CEA.  However, t</w:t>
      </w:r>
      <w:r w:rsidR="00194A52">
        <w:rPr>
          <w:rFonts w:ascii="Garamond" w:hAnsi="Garamond"/>
          <w:sz w:val="24"/>
          <w:szCs w:val="24"/>
        </w:rPr>
        <w:t xml:space="preserve">he Supplemental Proposal does not </w:t>
      </w:r>
      <w:r w:rsidR="002C3157">
        <w:rPr>
          <w:rFonts w:ascii="Garamond" w:hAnsi="Garamond"/>
          <w:sz w:val="24"/>
          <w:szCs w:val="24"/>
        </w:rPr>
        <w:t>adequately</w:t>
      </w:r>
      <w:r w:rsidR="00194A52">
        <w:rPr>
          <w:rFonts w:ascii="Garamond" w:hAnsi="Garamond"/>
          <w:sz w:val="24"/>
          <w:szCs w:val="24"/>
        </w:rPr>
        <w:t xml:space="preserve"> recognize the important role of merchandisers and their need to engage in anticipatory hedging transactions.  </w:t>
      </w:r>
      <w:r w:rsidR="003B3A55">
        <w:rPr>
          <w:rFonts w:ascii="Garamond" w:hAnsi="Garamond"/>
          <w:sz w:val="24"/>
          <w:szCs w:val="24"/>
        </w:rPr>
        <w:t xml:space="preserve">Anticipatory merchandising </w:t>
      </w:r>
      <w:r w:rsidR="009F3F0D">
        <w:rPr>
          <w:rFonts w:ascii="Garamond" w:hAnsi="Garamond"/>
          <w:sz w:val="24"/>
          <w:szCs w:val="24"/>
        </w:rPr>
        <w:t>hedges are</w:t>
      </w:r>
      <w:r w:rsidR="003B3A55">
        <w:rPr>
          <w:rFonts w:ascii="Garamond" w:hAnsi="Garamond"/>
          <w:sz w:val="24"/>
          <w:szCs w:val="24"/>
        </w:rPr>
        <w:t xml:space="preserve"> crucial to the risk management functio</w:t>
      </w:r>
      <w:r w:rsidR="009F3F0D">
        <w:rPr>
          <w:rFonts w:ascii="Garamond" w:hAnsi="Garamond"/>
          <w:sz w:val="24"/>
          <w:szCs w:val="24"/>
        </w:rPr>
        <w:t>ns of commercial end-users</w:t>
      </w:r>
      <w:r w:rsidR="008824C9">
        <w:rPr>
          <w:rFonts w:ascii="Garamond" w:hAnsi="Garamond"/>
          <w:sz w:val="24"/>
          <w:szCs w:val="24"/>
        </w:rPr>
        <w:t xml:space="preserve">.  </w:t>
      </w:r>
      <w:r w:rsidR="00FE217B">
        <w:rPr>
          <w:rFonts w:ascii="Garamond" w:hAnsi="Garamond"/>
          <w:sz w:val="24"/>
          <w:szCs w:val="24"/>
        </w:rPr>
        <w:t xml:space="preserve">Merchandising activity enables producers to place commodities into the value or supply chains and ultimately brings those commodities to consumers with minimal price volatility.  </w:t>
      </w:r>
    </w:p>
    <w:p w14:paraId="7A5473BD" w14:textId="77777777" w:rsidR="007A379E" w:rsidRDefault="007A379E" w:rsidP="009C6738">
      <w:pPr>
        <w:jc w:val="both"/>
        <w:rPr>
          <w:rFonts w:ascii="Garamond" w:hAnsi="Garamond"/>
          <w:sz w:val="24"/>
          <w:szCs w:val="24"/>
        </w:rPr>
      </w:pPr>
    </w:p>
    <w:p w14:paraId="7C96216E" w14:textId="7EA67A29" w:rsidR="00A224BF" w:rsidRDefault="00FE217B" w:rsidP="001B6515">
      <w:pPr>
        <w:ind w:firstLine="720"/>
        <w:jc w:val="both"/>
        <w:rPr>
          <w:rFonts w:ascii="Garamond" w:hAnsi="Garamond"/>
          <w:sz w:val="24"/>
          <w:szCs w:val="24"/>
        </w:rPr>
      </w:pPr>
      <w:r>
        <w:rPr>
          <w:rFonts w:ascii="Garamond" w:hAnsi="Garamond"/>
          <w:sz w:val="24"/>
          <w:szCs w:val="24"/>
        </w:rPr>
        <w:t xml:space="preserve">Limiting the ability of commercial firms to utilize these crucial risk management tools could result in increased price volatility, lower prices bid to producers, and increased prices that are passed on to end-users and consumers.  </w:t>
      </w:r>
      <w:r w:rsidR="008824C9">
        <w:rPr>
          <w:rFonts w:ascii="Garamond" w:hAnsi="Garamond"/>
          <w:sz w:val="24"/>
          <w:szCs w:val="24"/>
        </w:rPr>
        <w:t>M</w:t>
      </w:r>
      <w:r>
        <w:rPr>
          <w:rFonts w:ascii="Garamond" w:hAnsi="Garamond"/>
          <w:sz w:val="24"/>
          <w:szCs w:val="24"/>
        </w:rPr>
        <w:t xml:space="preserve">erchandising activity promotes market convergence – which is a crucial aspect of the price discovery function commodity markets serve. </w:t>
      </w:r>
      <w:r w:rsidR="008824C9">
        <w:rPr>
          <w:rFonts w:ascii="Garamond" w:hAnsi="Garamond"/>
          <w:sz w:val="24"/>
          <w:szCs w:val="24"/>
        </w:rPr>
        <w:t xml:space="preserve"> </w:t>
      </w:r>
      <w:r w:rsidRPr="005B2246">
        <w:rPr>
          <w:rFonts w:ascii="Garamond" w:hAnsi="Garamond"/>
          <w:sz w:val="24"/>
          <w:szCs w:val="24"/>
        </w:rPr>
        <w:t>Allowing the full scope of hedging activity promotes more efficient, effective</w:t>
      </w:r>
      <w:r w:rsidR="005D4DC8">
        <w:rPr>
          <w:rFonts w:ascii="Garamond" w:hAnsi="Garamond"/>
          <w:sz w:val="24"/>
          <w:szCs w:val="24"/>
        </w:rPr>
        <w:t>,</w:t>
      </w:r>
      <w:r w:rsidRPr="005B2246">
        <w:rPr>
          <w:rFonts w:ascii="Garamond" w:hAnsi="Garamond"/>
          <w:sz w:val="24"/>
          <w:szCs w:val="24"/>
        </w:rPr>
        <w:t xml:space="preserve"> and transparent markets –the </w:t>
      </w:r>
      <w:r w:rsidR="00D826CF">
        <w:rPr>
          <w:rFonts w:ascii="Garamond" w:hAnsi="Garamond"/>
          <w:sz w:val="24"/>
          <w:szCs w:val="24"/>
        </w:rPr>
        <w:t xml:space="preserve">exact </w:t>
      </w:r>
      <w:r w:rsidRPr="005B2246">
        <w:rPr>
          <w:rFonts w:ascii="Garamond" w:hAnsi="Garamond"/>
          <w:sz w:val="24"/>
          <w:szCs w:val="24"/>
        </w:rPr>
        <w:t>public policy goals t</w:t>
      </w:r>
      <w:r>
        <w:rPr>
          <w:rFonts w:ascii="Garamond" w:hAnsi="Garamond"/>
          <w:sz w:val="24"/>
          <w:szCs w:val="24"/>
        </w:rPr>
        <w:t xml:space="preserve">he Commission wishes to </w:t>
      </w:r>
      <w:r w:rsidR="00D826CF">
        <w:rPr>
          <w:rFonts w:ascii="Garamond" w:hAnsi="Garamond"/>
          <w:sz w:val="24"/>
          <w:szCs w:val="24"/>
        </w:rPr>
        <w:t>promote</w:t>
      </w:r>
      <w:r>
        <w:rPr>
          <w:rFonts w:ascii="Garamond" w:hAnsi="Garamond"/>
          <w:sz w:val="24"/>
          <w:szCs w:val="24"/>
        </w:rPr>
        <w:t xml:space="preserve">.  </w:t>
      </w:r>
      <w:r w:rsidR="005B2246">
        <w:rPr>
          <w:rFonts w:ascii="Garamond" w:hAnsi="Garamond"/>
          <w:sz w:val="24"/>
          <w:szCs w:val="24"/>
        </w:rPr>
        <w:t>T</w:t>
      </w:r>
      <w:r w:rsidR="008824C9">
        <w:rPr>
          <w:rFonts w:ascii="Garamond" w:hAnsi="Garamond"/>
          <w:sz w:val="24"/>
          <w:szCs w:val="24"/>
        </w:rPr>
        <w:t>hus, t</w:t>
      </w:r>
      <w:r w:rsidR="005B2246">
        <w:rPr>
          <w:rFonts w:ascii="Garamond" w:hAnsi="Garamond"/>
          <w:sz w:val="24"/>
          <w:szCs w:val="24"/>
        </w:rPr>
        <w:t xml:space="preserve">he statutory definition </w:t>
      </w:r>
      <w:r>
        <w:rPr>
          <w:rFonts w:ascii="Garamond" w:hAnsi="Garamond"/>
          <w:sz w:val="24"/>
          <w:szCs w:val="24"/>
        </w:rPr>
        <w:t>clearly reflects the</w:t>
      </w:r>
      <w:r w:rsidR="005B2246">
        <w:rPr>
          <w:rFonts w:ascii="Garamond" w:hAnsi="Garamond"/>
          <w:sz w:val="24"/>
          <w:szCs w:val="24"/>
        </w:rPr>
        <w:t xml:space="preserve"> Congressional intent </w:t>
      </w:r>
      <w:r>
        <w:rPr>
          <w:rFonts w:ascii="Garamond" w:hAnsi="Garamond"/>
          <w:sz w:val="24"/>
          <w:szCs w:val="24"/>
        </w:rPr>
        <w:t>that</w:t>
      </w:r>
      <w:r w:rsidR="005B2246">
        <w:rPr>
          <w:rFonts w:ascii="Garamond" w:hAnsi="Garamond"/>
          <w:sz w:val="24"/>
          <w:szCs w:val="24"/>
        </w:rPr>
        <w:t xml:space="preserve"> anticipatory merchandising transactions should not be subject to federal</w:t>
      </w:r>
      <w:r w:rsidR="005D4DC8">
        <w:rPr>
          <w:rFonts w:ascii="Garamond" w:hAnsi="Garamond"/>
          <w:sz w:val="24"/>
          <w:szCs w:val="24"/>
        </w:rPr>
        <w:t>ly mandated speculative</w:t>
      </w:r>
      <w:r w:rsidR="005B2246">
        <w:rPr>
          <w:rFonts w:ascii="Garamond" w:hAnsi="Garamond"/>
          <w:sz w:val="24"/>
          <w:szCs w:val="24"/>
        </w:rPr>
        <w:t xml:space="preserve"> position limits</w:t>
      </w:r>
      <w:r w:rsidR="009F3F0D">
        <w:rPr>
          <w:rFonts w:ascii="Garamond" w:hAnsi="Garamond"/>
          <w:sz w:val="24"/>
          <w:szCs w:val="24"/>
        </w:rPr>
        <w:t xml:space="preserve">. </w:t>
      </w:r>
    </w:p>
    <w:p w14:paraId="35675C71" w14:textId="77777777" w:rsidR="00194A52" w:rsidRDefault="00194A52" w:rsidP="009C6738">
      <w:pPr>
        <w:jc w:val="both"/>
        <w:rPr>
          <w:rFonts w:ascii="Garamond" w:hAnsi="Garamond"/>
          <w:sz w:val="24"/>
          <w:szCs w:val="24"/>
        </w:rPr>
      </w:pPr>
    </w:p>
    <w:p w14:paraId="3FD296E0" w14:textId="3F1076A6" w:rsidR="00194A52" w:rsidRPr="00D93E68" w:rsidRDefault="00194A52" w:rsidP="001B6515">
      <w:pPr>
        <w:ind w:firstLine="720"/>
        <w:jc w:val="both"/>
        <w:rPr>
          <w:rFonts w:ascii="Garamond" w:hAnsi="Garamond"/>
          <w:sz w:val="24"/>
          <w:szCs w:val="24"/>
        </w:rPr>
      </w:pPr>
      <w:r>
        <w:rPr>
          <w:rFonts w:ascii="Garamond" w:hAnsi="Garamond"/>
          <w:sz w:val="24"/>
          <w:szCs w:val="24"/>
        </w:rPr>
        <w:t>Viewed from a commercial context, e</w:t>
      </w:r>
      <w:r w:rsidRPr="00D93E68">
        <w:rPr>
          <w:rFonts w:ascii="Garamond" w:hAnsi="Garamond"/>
          <w:sz w:val="24"/>
          <w:szCs w:val="24"/>
        </w:rPr>
        <w:t xml:space="preserve">nergy </w:t>
      </w:r>
      <w:r>
        <w:rPr>
          <w:rFonts w:ascii="Garamond" w:hAnsi="Garamond"/>
          <w:sz w:val="24"/>
          <w:szCs w:val="24"/>
        </w:rPr>
        <w:t xml:space="preserve">and agricultural </w:t>
      </w:r>
      <w:r w:rsidR="002C3157">
        <w:rPr>
          <w:rFonts w:ascii="Garamond" w:hAnsi="Garamond"/>
          <w:sz w:val="24"/>
          <w:szCs w:val="24"/>
        </w:rPr>
        <w:t>merchandisers</w:t>
      </w:r>
      <w:r w:rsidR="002C3157">
        <w:rPr>
          <w:rStyle w:val="CommentReference"/>
        </w:rPr>
        <w:t xml:space="preserve"> </w:t>
      </w:r>
      <w:r w:rsidRPr="00D93E68">
        <w:rPr>
          <w:rFonts w:ascii="Garamond" w:hAnsi="Garamond"/>
          <w:sz w:val="24"/>
          <w:szCs w:val="24"/>
        </w:rPr>
        <w:t>build and manage a portfolio of physical supply, storage</w:t>
      </w:r>
      <w:r>
        <w:rPr>
          <w:rFonts w:ascii="Garamond" w:hAnsi="Garamond"/>
          <w:sz w:val="24"/>
          <w:szCs w:val="24"/>
        </w:rPr>
        <w:t>,</w:t>
      </w:r>
      <w:r w:rsidRPr="00D93E68">
        <w:rPr>
          <w:rFonts w:ascii="Garamond" w:hAnsi="Garamond"/>
          <w:sz w:val="24"/>
          <w:szCs w:val="24"/>
        </w:rPr>
        <w:t xml:space="preserve"> and transportation services in order to meet anticipated demand.  For most</w:t>
      </w:r>
      <w:r w:rsidR="00370DF9">
        <w:rPr>
          <w:rFonts w:ascii="Garamond" w:hAnsi="Garamond"/>
          <w:sz w:val="24"/>
          <w:szCs w:val="24"/>
        </w:rPr>
        <w:t xml:space="preserve"> firms</w:t>
      </w:r>
      <w:r w:rsidRPr="00D93E68">
        <w:rPr>
          <w:rFonts w:ascii="Garamond" w:hAnsi="Garamond"/>
          <w:sz w:val="24"/>
          <w:szCs w:val="24"/>
        </w:rPr>
        <w:t xml:space="preserve">, system demand varies dramatically, yet predictably, based on certain economic, weather, or supply factors.  Energy </w:t>
      </w:r>
      <w:r>
        <w:rPr>
          <w:rFonts w:ascii="Garamond" w:hAnsi="Garamond"/>
          <w:sz w:val="24"/>
          <w:szCs w:val="24"/>
        </w:rPr>
        <w:t xml:space="preserve">and agricultural </w:t>
      </w:r>
      <w:r w:rsidRPr="00D93E68">
        <w:rPr>
          <w:rFonts w:ascii="Garamond" w:hAnsi="Garamond"/>
          <w:sz w:val="24"/>
          <w:szCs w:val="24"/>
        </w:rPr>
        <w:t>commodities are exposed to commodity risks</w:t>
      </w:r>
      <w:r w:rsidR="00370DF9">
        <w:rPr>
          <w:rFonts w:ascii="Garamond" w:hAnsi="Garamond"/>
          <w:sz w:val="24"/>
          <w:szCs w:val="24"/>
        </w:rPr>
        <w:t>,</w:t>
      </w:r>
      <w:r w:rsidRPr="00D93E68">
        <w:rPr>
          <w:rFonts w:ascii="Garamond" w:hAnsi="Garamond"/>
          <w:sz w:val="24"/>
          <w:szCs w:val="24"/>
        </w:rPr>
        <w:t xml:space="preserve"> and in general</w:t>
      </w:r>
      <w:r w:rsidR="00370DF9">
        <w:rPr>
          <w:rFonts w:ascii="Garamond" w:hAnsi="Garamond"/>
          <w:sz w:val="24"/>
          <w:szCs w:val="24"/>
        </w:rPr>
        <w:t>,</w:t>
      </w:r>
      <w:r w:rsidRPr="00D93E68">
        <w:rPr>
          <w:rFonts w:ascii="Garamond" w:hAnsi="Garamond"/>
          <w:sz w:val="24"/>
          <w:szCs w:val="24"/>
        </w:rPr>
        <w:t xml:space="preserve"> must forecast the anticipated demand on their systems and assess the underlying physical exposure associated with that demand.  </w:t>
      </w:r>
      <w:r>
        <w:rPr>
          <w:rFonts w:ascii="Garamond" w:hAnsi="Garamond"/>
          <w:sz w:val="24"/>
          <w:szCs w:val="24"/>
        </w:rPr>
        <w:t xml:space="preserve">Many agricultural and </w:t>
      </w:r>
      <w:r w:rsidRPr="00D93E68">
        <w:rPr>
          <w:rFonts w:ascii="Garamond" w:hAnsi="Garamond"/>
          <w:sz w:val="24"/>
          <w:szCs w:val="24"/>
        </w:rPr>
        <w:t>energy companies then determine if the financial instruments are needed to mitigate all or a portion of that exposure.  For these reasons, providers need to be have hedge exemptions in place that allow for anticipatory hedging well in advance of when their positions may be expected to exceed the applicable limits.</w:t>
      </w:r>
      <w:r w:rsidR="00D826CF">
        <w:rPr>
          <w:rStyle w:val="FootnoteReference"/>
          <w:rFonts w:ascii="Garamond" w:hAnsi="Garamond"/>
          <w:sz w:val="24"/>
          <w:szCs w:val="24"/>
        </w:rPr>
        <w:footnoteReference w:id="13"/>
      </w:r>
      <w:r w:rsidRPr="00D93E68">
        <w:rPr>
          <w:rFonts w:ascii="Garamond" w:hAnsi="Garamond"/>
          <w:sz w:val="24"/>
          <w:szCs w:val="24"/>
        </w:rPr>
        <w:t xml:space="preserve">  </w:t>
      </w:r>
    </w:p>
    <w:p w14:paraId="0CF2D8CF" w14:textId="77777777" w:rsidR="00194A52" w:rsidRPr="00D93E68" w:rsidRDefault="00194A52" w:rsidP="00194A52">
      <w:pPr>
        <w:jc w:val="both"/>
        <w:rPr>
          <w:rFonts w:ascii="Garamond" w:hAnsi="Garamond"/>
          <w:sz w:val="24"/>
          <w:szCs w:val="24"/>
        </w:rPr>
      </w:pPr>
    </w:p>
    <w:p w14:paraId="595227ED" w14:textId="50FAA0F7" w:rsidR="00194A52" w:rsidRDefault="00194A52" w:rsidP="001B6515">
      <w:pPr>
        <w:ind w:firstLine="720"/>
        <w:jc w:val="both"/>
        <w:rPr>
          <w:rFonts w:ascii="Garamond" w:hAnsi="Garamond"/>
          <w:sz w:val="24"/>
          <w:szCs w:val="24"/>
        </w:rPr>
      </w:pPr>
      <w:r w:rsidRPr="00D93E68">
        <w:rPr>
          <w:rFonts w:ascii="Garamond" w:hAnsi="Garamond"/>
          <w:sz w:val="24"/>
          <w:szCs w:val="24"/>
        </w:rPr>
        <w:t>The demand for oil to process in a global refinery system, store in tankage</w:t>
      </w:r>
      <w:r w:rsidR="00E95F5D">
        <w:rPr>
          <w:rFonts w:ascii="Garamond" w:hAnsi="Garamond"/>
          <w:sz w:val="24"/>
          <w:szCs w:val="24"/>
        </w:rPr>
        <w:t>,</w:t>
      </w:r>
      <w:r w:rsidRPr="00D93E68">
        <w:rPr>
          <w:rFonts w:ascii="Garamond" w:hAnsi="Garamond"/>
          <w:sz w:val="24"/>
          <w:szCs w:val="24"/>
        </w:rPr>
        <w:t xml:space="preserve"> or arbitrage between one region and the other is constantly changing with the dynamics of the overall market.  Many refining systems anticipate their future needs for oil based on economics for refining crude oil into products, which change over time depen</w:t>
      </w:r>
      <w:r>
        <w:rPr>
          <w:rFonts w:ascii="Garamond" w:hAnsi="Garamond"/>
          <w:sz w:val="24"/>
          <w:szCs w:val="24"/>
        </w:rPr>
        <w:t>ding on a multitude of factors.</w:t>
      </w:r>
      <w:r w:rsidRPr="00D93E68">
        <w:rPr>
          <w:rFonts w:ascii="Garamond" w:hAnsi="Garamond"/>
          <w:sz w:val="24"/>
          <w:szCs w:val="24"/>
        </w:rPr>
        <w:t xml:space="preserve">  The companies purchase crude oil loading in the future to lock in physical and pricing needs</w:t>
      </w:r>
      <w:r w:rsidR="00E95F5D">
        <w:rPr>
          <w:rFonts w:ascii="Garamond" w:hAnsi="Garamond"/>
          <w:sz w:val="24"/>
          <w:szCs w:val="24"/>
        </w:rPr>
        <w:t>,</w:t>
      </w:r>
      <w:r w:rsidRPr="00D93E68">
        <w:rPr>
          <w:rFonts w:ascii="Garamond" w:hAnsi="Garamond"/>
          <w:sz w:val="24"/>
          <w:szCs w:val="24"/>
        </w:rPr>
        <w:t xml:space="preserve"> of which some can require hedging in benchmark future</w:t>
      </w:r>
      <w:r w:rsidR="008804EC">
        <w:rPr>
          <w:rFonts w:ascii="Garamond" w:hAnsi="Garamond"/>
          <w:sz w:val="24"/>
          <w:szCs w:val="24"/>
        </w:rPr>
        <w:t>s</w:t>
      </w:r>
      <w:r w:rsidRPr="00D93E68">
        <w:rPr>
          <w:rFonts w:ascii="Garamond" w:hAnsi="Garamond"/>
          <w:sz w:val="24"/>
          <w:szCs w:val="24"/>
        </w:rPr>
        <w:t xml:space="preserve"> contracts.  Further, energy providers consider buying benchmark oil to take delivery for their refining systems to process.  As economics change </w:t>
      </w:r>
      <w:r w:rsidR="00F338F5">
        <w:rPr>
          <w:rFonts w:ascii="Garamond" w:hAnsi="Garamond"/>
          <w:sz w:val="24"/>
          <w:szCs w:val="24"/>
        </w:rPr>
        <w:t>energy providers</w:t>
      </w:r>
      <w:r w:rsidR="00F338F5" w:rsidRPr="00D93E68">
        <w:rPr>
          <w:rFonts w:ascii="Garamond" w:hAnsi="Garamond"/>
          <w:sz w:val="24"/>
          <w:szCs w:val="24"/>
        </w:rPr>
        <w:t xml:space="preserve"> </w:t>
      </w:r>
      <w:r w:rsidRPr="00D93E68">
        <w:rPr>
          <w:rFonts w:ascii="Garamond" w:hAnsi="Garamond"/>
          <w:sz w:val="24"/>
          <w:szCs w:val="24"/>
        </w:rPr>
        <w:t>optimize these crudes and products by s</w:t>
      </w:r>
      <w:r>
        <w:rPr>
          <w:rFonts w:ascii="Garamond" w:hAnsi="Garamond"/>
          <w:sz w:val="24"/>
          <w:szCs w:val="24"/>
        </w:rPr>
        <w:t>elling them and buying others.  Consequently, energy providers are regularly planning their forward balances one-to-six months out.</w:t>
      </w:r>
    </w:p>
    <w:p w14:paraId="474AF6A4" w14:textId="77777777" w:rsidR="00B4470F" w:rsidRDefault="00B4470F" w:rsidP="00CA225A">
      <w:pPr>
        <w:jc w:val="both"/>
        <w:rPr>
          <w:rFonts w:ascii="Garamond" w:hAnsi="Garamond"/>
          <w:sz w:val="24"/>
          <w:szCs w:val="24"/>
        </w:rPr>
      </w:pPr>
    </w:p>
    <w:p w14:paraId="4819CD3B" w14:textId="6C0C1BC2" w:rsidR="00397293" w:rsidRPr="007641A0" w:rsidRDefault="00397293" w:rsidP="00A21525">
      <w:pPr>
        <w:pStyle w:val="ListParagraph"/>
        <w:numPr>
          <w:ilvl w:val="2"/>
          <w:numId w:val="20"/>
        </w:numPr>
        <w:jc w:val="both"/>
        <w:rPr>
          <w:rFonts w:ascii="Garamond" w:hAnsi="Garamond"/>
          <w:b/>
        </w:rPr>
      </w:pPr>
      <w:r w:rsidRPr="007641A0">
        <w:rPr>
          <w:rFonts w:ascii="Garamond" w:hAnsi="Garamond"/>
          <w:b/>
        </w:rPr>
        <w:t>Anticipatory Processing Hedges</w:t>
      </w:r>
    </w:p>
    <w:p w14:paraId="1E062026" w14:textId="111AB136" w:rsidR="00397293" w:rsidRDefault="00397293" w:rsidP="00A21525">
      <w:pPr>
        <w:rPr>
          <w:rFonts w:ascii="Garamond" w:hAnsi="Garamond"/>
          <w:sz w:val="24"/>
          <w:szCs w:val="24"/>
        </w:rPr>
      </w:pPr>
    </w:p>
    <w:p w14:paraId="3C65526B" w14:textId="53A96D94" w:rsidR="00C54FD0" w:rsidRPr="00C54FD0" w:rsidRDefault="00C54FD0" w:rsidP="001B6515">
      <w:pPr>
        <w:ind w:firstLine="720"/>
        <w:jc w:val="both"/>
        <w:rPr>
          <w:rFonts w:ascii="Garamond" w:hAnsi="Garamond"/>
          <w:sz w:val="24"/>
          <w:szCs w:val="24"/>
        </w:rPr>
      </w:pPr>
      <w:r w:rsidRPr="00C54FD0">
        <w:rPr>
          <w:rFonts w:ascii="Garamond" w:hAnsi="Garamond"/>
          <w:sz w:val="24"/>
          <w:szCs w:val="24"/>
        </w:rPr>
        <w:t>The Supplemental Proposal does not affirmatively respond to CMC</w:t>
      </w:r>
      <w:r w:rsidR="00F338F5">
        <w:rPr>
          <w:rFonts w:ascii="Garamond" w:hAnsi="Garamond"/>
          <w:sz w:val="24"/>
          <w:szCs w:val="24"/>
        </w:rPr>
        <w:t>’s</w:t>
      </w:r>
      <w:r w:rsidRPr="00C54FD0">
        <w:rPr>
          <w:rFonts w:ascii="Garamond" w:hAnsi="Garamond"/>
          <w:sz w:val="24"/>
          <w:szCs w:val="24"/>
        </w:rPr>
        <w:t xml:space="preserve"> concerns previously expressed regarding the anticipatory processing hedge exemption.  We recognize that those comments may be fully considered in the context of the Commission’s consideration of the 2013 Proposed Rule.  For purposes of reiterating our interest, CMC members are concerned with the examples</w:t>
      </w:r>
      <w:r w:rsidR="00F338F5">
        <w:rPr>
          <w:rFonts w:ascii="Garamond" w:hAnsi="Garamond"/>
          <w:sz w:val="24"/>
          <w:szCs w:val="24"/>
        </w:rPr>
        <w:t xml:space="preserve"> used</w:t>
      </w:r>
      <w:r w:rsidRPr="00C54FD0">
        <w:rPr>
          <w:rFonts w:ascii="Garamond" w:hAnsi="Garamond"/>
          <w:sz w:val="24"/>
          <w:szCs w:val="24"/>
        </w:rPr>
        <w:t xml:space="preserve"> in the Commission’s 2013 Proposal to provide guidance o</w:t>
      </w:r>
      <w:r w:rsidR="00F338F5">
        <w:rPr>
          <w:rFonts w:ascii="Garamond" w:hAnsi="Garamond"/>
          <w:sz w:val="24"/>
          <w:szCs w:val="24"/>
        </w:rPr>
        <w:t>n</w:t>
      </w:r>
      <w:r w:rsidRPr="00C54FD0">
        <w:rPr>
          <w:rFonts w:ascii="Garamond" w:hAnsi="Garamond"/>
          <w:sz w:val="24"/>
          <w:szCs w:val="24"/>
        </w:rPr>
        <w:t xml:space="preserve"> the applicability of the anticipatory </w:t>
      </w:r>
      <w:r w:rsidR="00F338F5" w:rsidRPr="00C54FD0">
        <w:rPr>
          <w:rFonts w:ascii="Garamond" w:hAnsi="Garamond"/>
          <w:sz w:val="24"/>
          <w:szCs w:val="24"/>
        </w:rPr>
        <w:t>process</w:t>
      </w:r>
      <w:r w:rsidR="00F338F5">
        <w:rPr>
          <w:rFonts w:ascii="Garamond" w:hAnsi="Garamond"/>
          <w:sz w:val="24"/>
          <w:szCs w:val="24"/>
        </w:rPr>
        <w:t>ing</w:t>
      </w:r>
      <w:r w:rsidR="00F338F5" w:rsidRPr="00C54FD0">
        <w:rPr>
          <w:rFonts w:ascii="Garamond" w:hAnsi="Garamond"/>
          <w:sz w:val="24"/>
          <w:szCs w:val="24"/>
        </w:rPr>
        <w:t xml:space="preserve"> </w:t>
      </w:r>
      <w:r w:rsidRPr="00C54FD0">
        <w:rPr>
          <w:rFonts w:ascii="Garamond" w:hAnsi="Garamond"/>
          <w:sz w:val="24"/>
          <w:szCs w:val="24"/>
        </w:rPr>
        <w:t xml:space="preserve">hedge exemption.  Specifically, the examples suggest that the only way one could avail itself of the exemption would be if positions were equally and contemporaneously placed against all legs of </w:t>
      </w:r>
      <w:r w:rsidR="00D16D00">
        <w:rPr>
          <w:rFonts w:ascii="Garamond" w:hAnsi="Garamond"/>
          <w:sz w:val="24"/>
          <w:szCs w:val="24"/>
        </w:rPr>
        <w:t>the</w:t>
      </w:r>
      <w:r w:rsidRPr="00C54FD0">
        <w:rPr>
          <w:rFonts w:ascii="Garamond" w:hAnsi="Garamond"/>
          <w:sz w:val="24"/>
          <w:szCs w:val="24"/>
        </w:rPr>
        <w:t xml:space="preserve"> processing hedge activity.  For soybean processors, this requirement would be </w:t>
      </w:r>
      <w:r w:rsidRPr="00C54FD0">
        <w:rPr>
          <w:rFonts w:ascii="Garamond" w:hAnsi="Garamond"/>
          <w:sz w:val="24"/>
          <w:szCs w:val="24"/>
        </w:rPr>
        <w:lastRenderedPageBreak/>
        <w:t>unworkable.  There are three legs to the soybean crush hedge – soybeans, soybean meal</w:t>
      </w:r>
      <w:r w:rsidR="00F338F5">
        <w:rPr>
          <w:rFonts w:ascii="Garamond" w:hAnsi="Garamond"/>
          <w:sz w:val="24"/>
          <w:szCs w:val="24"/>
        </w:rPr>
        <w:t>,</w:t>
      </w:r>
      <w:r w:rsidRPr="00C54FD0">
        <w:rPr>
          <w:rFonts w:ascii="Garamond" w:hAnsi="Garamond"/>
          <w:sz w:val="24"/>
          <w:szCs w:val="24"/>
        </w:rPr>
        <w:t xml:space="preserve"> and soybean oil.  Market conditions dictate the value of hedging the crush and the timing of positions.  In fact, there are </w:t>
      </w:r>
      <w:r w:rsidR="00357CA0">
        <w:rPr>
          <w:rFonts w:ascii="Garamond" w:hAnsi="Garamond"/>
          <w:sz w:val="24"/>
          <w:szCs w:val="24"/>
        </w:rPr>
        <w:t xml:space="preserve">often </w:t>
      </w:r>
      <w:r w:rsidRPr="00C54FD0">
        <w:rPr>
          <w:rFonts w:ascii="Garamond" w:hAnsi="Garamond"/>
          <w:sz w:val="24"/>
          <w:szCs w:val="24"/>
        </w:rPr>
        <w:t xml:space="preserve">instances where the best hedge for one or two of the legs would be no futures position at all. </w:t>
      </w:r>
    </w:p>
    <w:p w14:paraId="3CAC5C80" w14:textId="241AB9FD" w:rsidR="00397293" w:rsidRDefault="007049CA" w:rsidP="00C54FD0">
      <w:pPr>
        <w:jc w:val="both"/>
        <w:rPr>
          <w:rFonts w:ascii="Garamond" w:hAnsi="Garamond"/>
          <w:sz w:val="24"/>
          <w:szCs w:val="24"/>
        </w:rPr>
      </w:pPr>
      <w:r w:rsidRPr="00C54FD0">
        <w:rPr>
          <w:rFonts w:ascii="Garamond" w:hAnsi="Garamond"/>
          <w:sz w:val="24"/>
          <w:szCs w:val="24"/>
        </w:rPr>
        <w:t xml:space="preserve"> </w:t>
      </w:r>
    </w:p>
    <w:p w14:paraId="3B613F7B" w14:textId="1A6379D9" w:rsidR="00397293" w:rsidRPr="00A21525" w:rsidRDefault="00397293" w:rsidP="00A21525">
      <w:pPr>
        <w:pStyle w:val="ListParagraph"/>
        <w:numPr>
          <w:ilvl w:val="2"/>
          <w:numId w:val="20"/>
        </w:numPr>
        <w:rPr>
          <w:rFonts w:ascii="Garamond" w:hAnsi="Garamond"/>
          <w:b/>
        </w:rPr>
      </w:pPr>
      <w:r w:rsidRPr="00A21525">
        <w:rPr>
          <w:rFonts w:ascii="Garamond" w:hAnsi="Garamond"/>
          <w:b/>
        </w:rPr>
        <w:t>Cross Commodity Hedges</w:t>
      </w:r>
    </w:p>
    <w:p w14:paraId="048776D1" w14:textId="77777777" w:rsidR="00397293" w:rsidRPr="00A21525" w:rsidRDefault="00397293" w:rsidP="00A21525">
      <w:pPr>
        <w:ind w:left="1980"/>
        <w:rPr>
          <w:rFonts w:ascii="Garamond" w:hAnsi="Garamond"/>
          <w:b/>
        </w:rPr>
      </w:pPr>
    </w:p>
    <w:p w14:paraId="4C947E23" w14:textId="0DC96E18" w:rsidR="00DB4FC4" w:rsidRDefault="00DB4FC4" w:rsidP="001B6515">
      <w:pPr>
        <w:ind w:firstLine="720"/>
        <w:jc w:val="both"/>
        <w:rPr>
          <w:rFonts w:ascii="Garamond" w:hAnsi="Garamond"/>
          <w:sz w:val="24"/>
          <w:szCs w:val="24"/>
        </w:rPr>
      </w:pPr>
      <w:r>
        <w:rPr>
          <w:rFonts w:ascii="Garamond" w:hAnsi="Garamond"/>
          <w:sz w:val="24"/>
          <w:szCs w:val="24"/>
        </w:rPr>
        <w:t xml:space="preserve">CMC re-iterates its previous comments to request for the Commission </w:t>
      </w:r>
      <w:r w:rsidR="00C1675B">
        <w:rPr>
          <w:rFonts w:ascii="Garamond" w:hAnsi="Garamond"/>
          <w:sz w:val="24"/>
          <w:szCs w:val="24"/>
        </w:rPr>
        <w:t xml:space="preserve">to </w:t>
      </w:r>
      <w:r>
        <w:rPr>
          <w:rFonts w:ascii="Garamond" w:hAnsi="Garamond"/>
          <w:sz w:val="24"/>
          <w:szCs w:val="24"/>
        </w:rPr>
        <w:t>remove the quantitative factor and the spot month restriction for cross</w:t>
      </w:r>
      <w:r w:rsidR="00B915E9">
        <w:rPr>
          <w:rFonts w:ascii="Garamond" w:hAnsi="Garamond"/>
          <w:sz w:val="24"/>
          <w:szCs w:val="24"/>
        </w:rPr>
        <w:t xml:space="preserve"> </w:t>
      </w:r>
      <w:r>
        <w:rPr>
          <w:rFonts w:ascii="Garamond" w:hAnsi="Garamond"/>
          <w:sz w:val="24"/>
          <w:szCs w:val="24"/>
        </w:rPr>
        <w:t>commodity hedging, and instead, to adopt a reasonableness test.  We believe that the reasonableness test satisfies the “economically appropriate” standard</w:t>
      </w:r>
      <w:r w:rsidR="00D46F74">
        <w:rPr>
          <w:rFonts w:ascii="Garamond" w:hAnsi="Garamond"/>
          <w:sz w:val="24"/>
          <w:szCs w:val="24"/>
        </w:rPr>
        <w:t xml:space="preserve"> as</w:t>
      </w:r>
      <w:r>
        <w:rPr>
          <w:rFonts w:ascii="Garamond" w:hAnsi="Garamond"/>
          <w:sz w:val="24"/>
          <w:szCs w:val="24"/>
        </w:rPr>
        <w:t xml:space="preserve"> </w:t>
      </w:r>
      <w:r w:rsidR="00D46F74">
        <w:rPr>
          <w:rFonts w:ascii="Garamond" w:hAnsi="Garamond"/>
          <w:sz w:val="24"/>
          <w:szCs w:val="24"/>
        </w:rPr>
        <w:t>c</w:t>
      </w:r>
      <w:r w:rsidR="00F338F5" w:rsidRPr="005B14A3">
        <w:rPr>
          <w:rFonts w:ascii="Garamond" w:hAnsi="Garamond"/>
          <w:sz w:val="24"/>
          <w:szCs w:val="24"/>
        </w:rPr>
        <w:t>ross hedging</w:t>
      </w:r>
      <w:r w:rsidRPr="005B14A3">
        <w:rPr>
          <w:rFonts w:ascii="Garamond" w:hAnsi="Garamond"/>
          <w:sz w:val="24"/>
          <w:szCs w:val="24"/>
        </w:rPr>
        <w:t xml:space="preserve"> is particularly important for commodities </w:t>
      </w:r>
      <w:r w:rsidR="00273996">
        <w:rPr>
          <w:rFonts w:ascii="Garamond" w:hAnsi="Garamond"/>
          <w:sz w:val="24"/>
          <w:szCs w:val="24"/>
        </w:rPr>
        <w:t xml:space="preserve">that </w:t>
      </w:r>
      <w:r w:rsidRPr="005B14A3">
        <w:rPr>
          <w:rFonts w:ascii="Garamond" w:hAnsi="Garamond"/>
          <w:sz w:val="24"/>
          <w:szCs w:val="24"/>
        </w:rPr>
        <w:t xml:space="preserve">may be processed or transformed into products </w:t>
      </w:r>
      <w:r w:rsidR="00273996">
        <w:rPr>
          <w:rFonts w:ascii="Garamond" w:hAnsi="Garamond"/>
          <w:sz w:val="24"/>
          <w:szCs w:val="24"/>
        </w:rPr>
        <w:t>and</w:t>
      </w:r>
      <w:r w:rsidR="00273996" w:rsidRPr="005B14A3">
        <w:rPr>
          <w:rFonts w:ascii="Garamond" w:hAnsi="Garamond"/>
          <w:sz w:val="24"/>
          <w:szCs w:val="24"/>
        </w:rPr>
        <w:t xml:space="preserve"> </w:t>
      </w:r>
      <w:r w:rsidRPr="005B14A3">
        <w:rPr>
          <w:rFonts w:ascii="Garamond" w:hAnsi="Garamond"/>
          <w:sz w:val="24"/>
          <w:szCs w:val="24"/>
        </w:rPr>
        <w:t>may not be</w:t>
      </w:r>
      <w:r w:rsidR="00E35A92">
        <w:rPr>
          <w:rFonts w:ascii="Garamond" w:hAnsi="Garamond"/>
          <w:sz w:val="24"/>
          <w:szCs w:val="24"/>
        </w:rPr>
        <w:t xml:space="preserve"> non-exchange </w:t>
      </w:r>
      <w:r w:rsidRPr="005B14A3">
        <w:rPr>
          <w:rFonts w:ascii="Garamond" w:hAnsi="Garamond"/>
          <w:sz w:val="24"/>
          <w:szCs w:val="24"/>
        </w:rPr>
        <w:t>traded commodities.</w:t>
      </w:r>
      <w:r w:rsidR="00B80438">
        <w:rPr>
          <w:rStyle w:val="FootnoteReference"/>
          <w:rFonts w:ascii="Garamond" w:hAnsi="Garamond"/>
          <w:sz w:val="24"/>
          <w:szCs w:val="24"/>
        </w:rPr>
        <w:footnoteReference w:id="14"/>
      </w:r>
      <w:r w:rsidRPr="005B14A3">
        <w:rPr>
          <w:rFonts w:ascii="Garamond" w:hAnsi="Garamond"/>
          <w:sz w:val="24"/>
          <w:szCs w:val="24"/>
        </w:rPr>
        <w:t xml:space="preserve">  </w:t>
      </w:r>
    </w:p>
    <w:p w14:paraId="1D5D64B3" w14:textId="77777777" w:rsidR="00267D5C" w:rsidRDefault="00267D5C" w:rsidP="00DB4FC4">
      <w:pPr>
        <w:jc w:val="both"/>
        <w:rPr>
          <w:rFonts w:ascii="Garamond" w:hAnsi="Garamond"/>
          <w:sz w:val="24"/>
          <w:szCs w:val="24"/>
        </w:rPr>
      </w:pPr>
    </w:p>
    <w:p w14:paraId="77B7E093" w14:textId="25DDBC2E" w:rsidR="00DB4FC4" w:rsidRDefault="00DB4FC4" w:rsidP="00D16D00">
      <w:pPr>
        <w:ind w:firstLine="720"/>
        <w:jc w:val="both"/>
        <w:rPr>
          <w:rFonts w:ascii="Garamond" w:hAnsi="Garamond"/>
          <w:sz w:val="24"/>
          <w:szCs w:val="24"/>
        </w:rPr>
      </w:pPr>
      <w:r>
        <w:rPr>
          <w:rFonts w:ascii="Garamond" w:hAnsi="Garamond"/>
          <w:sz w:val="24"/>
          <w:szCs w:val="24"/>
        </w:rPr>
        <w:t xml:space="preserve">Specifically, the Commission </w:t>
      </w:r>
      <w:r w:rsidRPr="008A4963">
        <w:rPr>
          <w:rFonts w:ascii="Garamond" w:hAnsi="Garamond"/>
          <w:sz w:val="24"/>
          <w:szCs w:val="24"/>
        </w:rPr>
        <w:t xml:space="preserve">introduced its </w:t>
      </w:r>
      <w:r w:rsidR="003903EB">
        <w:rPr>
          <w:rFonts w:ascii="Garamond" w:hAnsi="Garamond"/>
          <w:sz w:val="24"/>
          <w:szCs w:val="24"/>
        </w:rPr>
        <w:t>“</w:t>
      </w:r>
      <w:r w:rsidRPr="008A4963">
        <w:rPr>
          <w:rFonts w:ascii="Garamond" w:hAnsi="Garamond"/>
          <w:sz w:val="24"/>
          <w:szCs w:val="24"/>
        </w:rPr>
        <w:t>substantially related</w:t>
      </w:r>
      <w:r w:rsidR="003903EB">
        <w:rPr>
          <w:rFonts w:ascii="Garamond" w:hAnsi="Garamond"/>
          <w:sz w:val="24"/>
          <w:szCs w:val="24"/>
        </w:rPr>
        <w:t>”</w:t>
      </w:r>
      <w:r w:rsidRPr="008A4963">
        <w:rPr>
          <w:rFonts w:ascii="Garamond" w:hAnsi="Garamond"/>
          <w:sz w:val="24"/>
          <w:szCs w:val="24"/>
        </w:rPr>
        <w:t xml:space="preserve"> test in the </w:t>
      </w:r>
      <w:r>
        <w:rPr>
          <w:rFonts w:ascii="Garamond" w:hAnsi="Garamond"/>
          <w:sz w:val="24"/>
          <w:szCs w:val="24"/>
        </w:rPr>
        <w:t>2013 Proposed Rule</w:t>
      </w:r>
      <w:r w:rsidRPr="008A4963">
        <w:rPr>
          <w:rFonts w:ascii="Garamond" w:hAnsi="Garamond"/>
          <w:sz w:val="24"/>
          <w:szCs w:val="24"/>
        </w:rPr>
        <w:t xml:space="preserve"> by requiring that fluctuations in the value of any </w:t>
      </w:r>
      <w:r w:rsidRPr="0079290C">
        <w:rPr>
          <w:rFonts w:ascii="Garamond" w:hAnsi="Garamond"/>
          <w:i/>
          <w:sz w:val="24"/>
          <w:szCs w:val="24"/>
        </w:rPr>
        <w:t>bona fide</w:t>
      </w:r>
      <w:r w:rsidRPr="008A4963">
        <w:rPr>
          <w:rFonts w:ascii="Garamond" w:hAnsi="Garamond"/>
          <w:sz w:val="24"/>
          <w:szCs w:val="24"/>
        </w:rPr>
        <w:t xml:space="preserve"> hedging contract be </w:t>
      </w:r>
      <w:r w:rsidR="003903EB">
        <w:rPr>
          <w:rFonts w:ascii="Garamond" w:hAnsi="Garamond"/>
          <w:sz w:val="24"/>
          <w:szCs w:val="24"/>
        </w:rPr>
        <w:t>“</w:t>
      </w:r>
      <w:r w:rsidRPr="008A4963">
        <w:rPr>
          <w:rFonts w:ascii="Garamond" w:hAnsi="Garamond"/>
          <w:sz w:val="24"/>
          <w:szCs w:val="24"/>
        </w:rPr>
        <w:t>substantially related</w:t>
      </w:r>
      <w:r w:rsidR="003903EB">
        <w:rPr>
          <w:rFonts w:ascii="Garamond" w:hAnsi="Garamond"/>
          <w:sz w:val="24"/>
          <w:szCs w:val="24"/>
        </w:rPr>
        <w:t>”</w:t>
      </w:r>
      <w:r w:rsidRPr="008A4963">
        <w:rPr>
          <w:rFonts w:ascii="Garamond" w:hAnsi="Garamond"/>
          <w:sz w:val="24"/>
          <w:szCs w:val="24"/>
        </w:rPr>
        <w:t xml:space="preserve"> to the fluctuations in the value of the hedged position</w:t>
      </w:r>
      <w:r>
        <w:rPr>
          <w:rFonts w:ascii="Garamond" w:hAnsi="Garamond"/>
          <w:sz w:val="24"/>
          <w:szCs w:val="24"/>
        </w:rPr>
        <w:t>.  The Commission suggested a</w:t>
      </w:r>
      <w:r w:rsidRPr="007A1390">
        <w:rPr>
          <w:rFonts w:ascii="Garamond" w:hAnsi="Garamond"/>
          <w:sz w:val="24"/>
          <w:szCs w:val="24"/>
        </w:rPr>
        <w:t xml:space="preserve"> nume</w:t>
      </w:r>
      <w:r>
        <w:rPr>
          <w:rFonts w:ascii="Garamond" w:hAnsi="Garamond"/>
          <w:sz w:val="24"/>
          <w:szCs w:val="24"/>
        </w:rPr>
        <w:t xml:space="preserve">rical test </w:t>
      </w:r>
      <w:r w:rsidR="001A2F02">
        <w:rPr>
          <w:rFonts w:ascii="Garamond" w:hAnsi="Garamond"/>
          <w:sz w:val="24"/>
          <w:szCs w:val="24"/>
        </w:rPr>
        <w:t xml:space="preserve">– a </w:t>
      </w:r>
      <w:r>
        <w:rPr>
          <w:rFonts w:ascii="Garamond" w:hAnsi="Garamond"/>
          <w:sz w:val="24"/>
          <w:szCs w:val="24"/>
        </w:rPr>
        <w:t>0.8 correlation coefficient</w:t>
      </w:r>
      <w:r w:rsidR="00D16D00">
        <w:rPr>
          <w:rFonts w:ascii="Garamond" w:hAnsi="Garamond"/>
          <w:sz w:val="24"/>
          <w:szCs w:val="24"/>
        </w:rPr>
        <w:t xml:space="preserve"> —</w:t>
      </w:r>
      <w:r>
        <w:rPr>
          <w:rFonts w:ascii="Garamond" w:hAnsi="Garamond"/>
          <w:sz w:val="24"/>
          <w:szCs w:val="24"/>
        </w:rPr>
        <w:t xml:space="preserve"> to qualify a contract for utilization as a cross commodity hedge for </w:t>
      </w:r>
      <w:r w:rsidRPr="007A1390">
        <w:rPr>
          <w:rFonts w:ascii="Garamond" w:hAnsi="Garamond"/>
          <w:sz w:val="24"/>
          <w:szCs w:val="24"/>
        </w:rPr>
        <w:t>a time period of at least 36</w:t>
      </w:r>
      <w:r>
        <w:rPr>
          <w:rFonts w:ascii="Garamond" w:hAnsi="Garamond"/>
          <w:sz w:val="24"/>
          <w:szCs w:val="24"/>
        </w:rPr>
        <w:t xml:space="preserve"> months</w:t>
      </w:r>
      <w:r w:rsidRPr="008A4963">
        <w:rPr>
          <w:rFonts w:ascii="Garamond" w:hAnsi="Garamond"/>
          <w:sz w:val="24"/>
          <w:szCs w:val="24"/>
        </w:rPr>
        <w:t>.</w:t>
      </w:r>
      <w:r w:rsidR="00F835AC" w:rsidRPr="008A4963">
        <w:rPr>
          <w:rFonts w:ascii="Garamond" w:hAnsi="Garamond"/>
          <w:sz w:val="24"/>
          <w:szCs w:val="24"/>
          <w:vertAlign w:val="superscript"/>
        </w:rPr>
        <w:footnoteReference w:id="15"/>
      </w:r>
      <w:r w:rsidRPr="008A4963">
        <w:rPr>
          <w:rFonts w:ascii="Garamond" w:hAnsi="Garamond"/>
          <w:sz w:val="24"/>
          <w:szCs w:val="24"/>
        </w:rPr>
        <w:t xml:space="preserve">  </w:t>
      </w:r>
      <w:r>
        <w:rPr>
          <w:rFonts w:ascii="Garamond" w:hAnsi="Garamond"/>
          <w:sz w:val="24"/>
          <w:szCs w:val="24"/>
        </w:rPr>
        <w:t xml:space="preserve">CMC believes that a </w:t>
      </w:r>
      <w:r w:rsidR="003903EB">
        <w:rPr>
          <w:rFonts w:ascii="Garamond" w:hAnsi="Garamond"/>
          <w:sz w:val="24"/>
          <w:szCs w:val="24"/>
        </w:rPr>
        <w:t>“</w:t>
      </w:r>
      <w:r w:rsidRPr="008A4963">
        <w:rPr>
          <w:rFonts w:ascii="Garamond" w:hAnsi="Garamond"/>
          <w:sz w:val="24"/>
          <w:szCs w:val="24"/>
        </w:rPr>
        <w:t>substantially related</w:t>
      </w:r>
      <w:r w:rsidR="003903EB">
        <w:rPr>
          <w:rFonts w:ascii="Garamond" w:hAnsi="Garamond"/>
          <w:sz w:val="24"/>
          <w:szCs w:val="24"/>
        </w:rPr>
        <w:t>”</w:t>
      </w:r>
      <w:r w:rsidRPr="008A4963">
        <w:rPr>
          <w:rFonts w:ascii="Garamond" w:hAnsi="Garamond"/>
          <w:sz w:val="24"/>
          <w:szCs w:val="24"/>
        </w:rPr>
        <w:t xml:space="preserve"> test </w:t>
      </w:r>
      <w:r>
        <w:rPr>
          <w:rFonts w:ascii="Garamond" w:hAnsi="Garamond"/>
          <w:sz w:val="24"/>
          <w:szCs w:val="24"/>
        </w:rPr>
        <w:t xml:space="preserve">may provide </w:t>
      </w:r>
      <w:r w:rsidRPr="008A4963">
        <w:rPr>
          <w:rFonts w:ascii="Garamond" w:hAnsi="Garamond"/>
          <w:sz w:val="24"/>
          <w:szCs w:val="24"/>
        </w:rPr>
        <w:t>guidance as to whether a cross</w:t>
      </w:r>
      <w:r w:rsidR="00950C25">
        <w:rPr>
          <w:rFonts w:ascii="Garamond" w:hAnsi="Garamond"/>
          <w:sz w:val="24"/>
          <w:szCs w:val="24"/>
        </w:rPr>
        <w:t xml:space="preserve"> </w:t>
      </w:r>
      <w:r w:rsidRPr="008A4963">
        <w:rPr>
          <w:rFonts w:ascii="Garamond" w:hAnsi="Garamond"/>
          <w:sz w:val="24"/>
          <w:szCs w:val="24"/>
        </w:rPr>
        <w:t>commodity h</w:t>
      </w:r>
      <w:r>
        <w:rPr>
          <w:rFonts w:ascii="Garamond" w:hAnsi="Garamond"/>
          <w:sz w:val="24"/>
          <w:szCs w:val="24"/>
        </w:rPr>
        <w:t xml:space="preserve">edge is </w:t>
      </w:r>
      <w:r w:rsidR="003903EB">
        <w:rPr>
          <w:rFonts w:ascii="Garamond" w:hAnsi="Garamond"/>
          <w:sz w:val="24"/>
          <w:szCs w:val="24"/>
        </w:rPr>
        <w:t>“</w:t>
      </w:r>
      <w:r>
        <w:rPr>
          <w:rFonts w:ascii="Garamond" w:hAnsi="Garamond"/>
          <w:sz w:val="24"/>
          <w:szCs w:val="24"/>
        </w:rPr>
        <w:t>economically appropriate</w:t>
      </w:r>
      <w:r w:rsidR="003903EB">
        <w:rPr>
          <w:rFonts w:ascii="Garamond" w:hAnsi="Garamond"/>
          <w:sz w:val="24"/>
          <w:szCs w:val="24"/>
        </w:rPr>
        <w:t>”</w:t>
      </w:r>
      <w:r w:rsidRPr="008A4963">
        <w:rPr>
          <w:rFonts w:ascii="Garamond" w:hAnsi="Garamond"/>
          <w:sz w:val="24"/>
          <w:szCs w:val="24"/>
        </w:rPr>
        <w:t xml:space="preserve"> for purposes of the </w:t>
      </w:r>
      <w:r w:rsidRPr="0079290C">
        <w:rPr>
          <w:rFonts w:ascii="Garamond" w:hAnsi="Garamond"/>
          <w:i/>
          <w:sz w:val="24"/>
          <w:szCs w:val="24"/>
        </w:rPr>
        <w:t>bona fide</w:t>
      </w:r>
      <w:r w:rsidRPr="008A4963">
        <w:rPr>
          <w:rFonts w:ascii="Garamond" w:hAnsi="Garamond"/>
          <w:sz w:val="24"/>
          <w:szCs w:val="24"/>
        </w:rPr>
        <w:t xml:space="preserve"> hedging definition</w:t>
      </w:r>
      <w:r w:rsidR="00D16D00">
        <w:rPr>
          <w:rFonts w:ascii="Garamond" w:hAnsi="Garamond"/>
          <w:sz w:val="24"/>
          <w:szCs w:val="24"/>
        </w:rPr>
        <w:t>;</w:t>
      </w:r>
      <w:r>
        <w:rPr>
          <w:rFonts w:ascii="Garamond" w:hAnsi="Garamond"/>
          <w:sz w:val="24"/>
          <w:szCs w:val="24"/>
        </w:rPr>
        <w:t xml:space="preserve"> however, </w:t>
      </w:r>
      <w:r w:rsidR="00950C25">
        <w:rPr>
          <w:rFonts w:ascii="Garamond" w:hAnsi="Garamond"/>
          <w:sz w:val="24"/>
          <w:szCs w:val="24"/>
        </w:rPr>
        <w:t>we</w:t>
      </w:r>
      <w:r>
        <w:rPr>
          <w:rFonts w:ascii="Garamond" w:hAnsi="Garamond"/>
          <w:sz w:val="24"/>
          <w:szCs w:val="24"/>
        </w:rPr>
        <w:t xml:space="preserve"> assert that certain transactions can be </w:t>
      </w:r>
      <w:r w:rsidRPr="008A4963">
        <w:rPr>
          <w:rFonts w:ascii="Garamond" w:hAnsi="Garamond"/>
          <w:sz w:val="24"/>
          <w:szCs w:val="24"/>
        </w:rPr>
        <w:t xml:space="preserve">recognized </w:t>
      </w:r>
      <w:r>
        <w:rPr>
          <w:rFonts w:ascii="Garamond" w:hAnsi="Garamond"/>
          <w:sz w:val="24"/>
          <w:szCs w:val="24"/>
        </w:rPr>
        <w:t xml:space="preserve">as a hedge even </w:t>
      </w:r>
      <w:r w:rsidRPr="008A4963">
        <w:rPr>
          <w:rFonts w:ascii="Garamond" w:hAnsi="Garamond"/>
          <w:sz w:val="24"/>
          <w:szCs w:val="24"/>
        </w:rPr>
        <w:t xml:space="preserve">if a hedge position does not satisfy the CFTC's </w:t>
      </w:r>
      <w:r w:rsidR="00D8081A">
        <w:rPr>
          <w:rFonts w:ascii="Garamond" w:hAnsi="Garamond"/>
          <w:sz w:val="24"/>
          <w:szCs w:val="24"/>
        </w:rPr>
        <w:t>“</w:t>
      </w:r>
      <w:r w:rsidRPr="008A4963">
        <w:rPr>
          <w:rFonts w:ascii="Garamond" w:hAnsi="Garamond"/>
          <w:sz w:val="24"/>
          <w:szCs w:val="24"/>
        </w:rPr>
        <w:t>substantially related</w:t>
      </w:r>
      <w:r w:rsidR="00D8081A">
        <w:rPr>
          <w:rFonts w:ascii="Garamond" w:hAnsi="Garamond"/>
          <w:sz w:val="24"/>
          <w:szCs w:val="24"/>
        </w:rPr>
        <w:t>”</w:t>
      </w:r>
      <w:r w:rsidRPr="008A4963">
        <w:rPr>
          <w:rFonts w:ascii="Garamond" w:hAnsi="Garamond"/>
          <w:sz w:val="24"/>
          <w:szCs w:val="24"/>
        </w:rPr>
        <w:t xml:space="preserve"> test but is nonetheless </w:t>
      </w:r>
      <w:r w:rsidR="003903EB">
        <w:rPr>
          <w:rFonts w:ascii="Garamond" w:hAnsi="Garamond"/>
          <w:sz w:val="24"/>
          <w:szCs w:val="24"/>
        </w:rPr>
        <w:t>“</w:t>
      </w:r>
      <w:r w:rsidRPr="008A4963">
        <w:rPr>
          <w:rFonts w:ascii="Garamond" w:hAnsi="Garamond"/>
          <w:sz w:val="24"/>
          <w:szCs w:val="24"/>
        </w:rPr>
        <w:t>economically appropriate</w:t>
      </w:r>
      <w:r w:rsidR="003903EB">
        <w:rPr>
          <w:rFonts w:ascii="Garamond" w:hAnsi="Garamond"/>
          <w:sz w:val="24"/>
          <w:szCs w:val="24"/>
        </w:rPr>
        <w:t>”</w:t>
      </w:r>
      <w:r w:rsidRPr="008A4963">
        <w:rPr>
          <w:rFonts w:ascii="Garamond" w:hAnsi="Garamond"/>
          <w:sz w:val="24"/>
          <w:szCs w:val="24"/>
        </w:rPr>
        <w:t xml:space="preserve"> given the context of the hedge.</w:t>
      </w:r>
      <w:r w:rsidRPr="008A4963">
        <w:rPr>
          <w:rFonts w:ascii="Garamond" w:hAnsi="Garamond"/>
          <w:sz w:val="24"/>
          <w:szCs w:val="24"/>
          <w:vertAlign w:val="superscript"/>
        </w:rPr>
        <w:footnoteReference w:id="16"/>
      </w:r>
      <w:r w:rsidRPr="008A4963">
        <w:rPr>
          <w:rFonts w:ascii="Garamond" w:hAnsi="Garamond"/>
          <w:sz w:val="24"/>
          <w:szCs w:val="24"/>
        </w:rPr>
        <w:t xml:space="preserve">  In</w:t>
      </w:r>
      <w:r w:rsidR="004E0B71">
        <w:rPr>
          <w:rFonts w:ascii="Garamond" w:hAnsi="Garamond"/>
          <w:sz w:val="24"/>
          <w:szCs w:val="24"/>
        </w:rPr>
        <w:t xml:space="preserve"> both t</w:t>
      </w:r>
      <w:r>
        <w:rPr>
          <w:rFonts w:ascii="Garamond" w:hAnsi="Garamond"/>
          <w:sz w:val="24"/>
          <w:szCs w:val="24"/>
        </w:rPr>
        <w:t xml:space="preserve">he </w:t>
      </w:r>
      <w:r w:rsidR="004E0B71">
        <w:rPr>
          <w:rFonts w:ascii="Garamond" w:hAnsi="Garamond"/>
          <w:sz w:val="24"/>
          <w:szCs w:val="24"/>
        </w:rPr>
        <w:t xml:space="preserve">agricultural </w:t>
      </w:r>
      <w:r>
        <w:rPr>
          <w:rFonts w:ascii="Garamond" w:hAnsi="Garamond"/>
          <w:sz w:val="24"/>
          <w:szCs w:val="24"/>
        </w:rPr>
        <w:t>and energy sector</w:t>
      </w:r>
      <w:r w:rsidR="004E0B71">
        <w:rPr>
          <w:rFonts w:ascii="Garamond" w:hAnsi="Garamond"/>
          <w:sz w:val="24"/>
          <w:szCs w:val="24"/>
        </w:rPr>
        <w:t>s</w:t>
      </w:r>
      <w:r>
        <w:rPr>
          <w:rFonts w:ascii="Garamond" w:hAnsi="Garamond"/>
          <w:sz w:val="24"/>
          <w:szCs w:val="24"/>
        </w:rPr>
        <w:t xml:space="preserve">, in </w:t>
      </w:r>
      <w:r w:rsidRPr="008A4963">
        <w:rPr>
          <w:rFonts w:ascii="Garamond" w:hAnsi="Garamond"/>
          <w:sz w:val="24"/>
          <w:szCs w:val="24"/>
        </w:rPr>
        <w:t xml:space="preserve">many circumstances, perfect or near-perfect hedges </w:t>
      </w:r>
      <w:r>
        <w:rPr>
          <w:rFonts w:ascii="Garamond" w:hAnsi="Garamond"/>
          <w:sz w:val="24"/>
          <w:szCs w:val="24"/>
        </w:rPr>
        <w:t xml:space="preserve">are not generally available, thus, the Commission should qualify </w:t>
      </w:r>
      <w:r w:rsidRPr="008A4963">
        <w:rPr>
          <w:rFonts w:ascii="Garamond" w:hAnsi="Garamond"/>
          <w:sz w:val="24"/>
          <w:szCs w:val="24"/>
        </w:rPr>
        <w:t>a cross</w:t>
      </w:r>
      <w:r w:rsidR="00B915E9">
        <w:rPr>
          <w:rFonts w:ascii="Garamond" w:hAnsi="Garamond"/>
          <w:sz w:val="24"/>
          <w:szCs w:val="24"/>
        </w:rPr>
        <w:t xml:space="preserve"> </w:t>
      </w:r>
      <w:r w:rsidRPr="008A4963">
        <w:rPr>
          <w:rFonts w:ascii="Garamond" w:hAnsi="Garamond"/>
          <w:sz w:val="24"/>
          <w:szCs w:val="24"/>
        </w:rPr>
        <w:t>commodity h</w:t>
      </w:r>
      <w:r>
        <w:rPr>
          <w:rFonts w:ascii="Garamond" w:hAnsi="Garamond"/>
          <w:sz w:val="24"/>
          <w:szCs w:val="24"/>
        </w:rPr>
        <w:t>edge as “economically appropriate.”</w:t>
      </w:r>
    </w:p>
    <w:p w14:paraId="642F5BC4" w14:textId="77777777" w:rsidR="00DB4FC4" w:rsidRDefault="00DB4FC4" w:rsidP="00DB4FC4">
      <w:pPr>
        <w:jc w:val="both"/>
        <w:rPr>
          <w:rFonts w:ascii="Garamond" w:hAnsi="Garamond"/>
          <w:sz w:val="24"/>
          <w:szCs w:val="24"/>
        </w:rPr>
      </w:pPr>
    </w:p>
    <w:p w14:paraId="07E04B7E" w14:textId="2C9B110C" w:rsidR="00DB4FC4" w:rsidRDefault="00DB4FC4" w:rsidP="00B5673F">
      <w:pPr>
        <w:ind w:firstLine="720"/>
        <w:jc w:val="both"/>
        <w:rPr>
          <w:rFonts w:ascii="Garamond" w:hAnsi="Garamond"/>
          <w:sz w:val="24"/>
          <w:szCs w:val="24"/>
        </w:rPr>
      </w:pPr>
      <w:r w:rsidRPr="005B14A3">
        <w:rPr>
          <w:rFonts w:ascii="Garamond" w:hAnsi="Garamond"/>
          <w:sz w:val="24"/>
          <w:szCs w:val="24"/>
        </w:rPr>
        <w:t xml:space="preserve">For example, </w:t>
      </w:r>
      <w:r>
        <w:rPr>
          <w:rFonts w:ascii="Garamond" w:hAnsi="Garamond"/>
          <w:sz w:val="24"/>
          <w:szCs w:val="24"/>
        </w:rPr>
        <w:t xml:space="preserve">over some time periods and across some geographical locations, a hedge of electricity prices using a derivatives contract linked to Henry Hub may, in fact be </w:t>
      </w:r>
      <w:r w:rsidR="003903EB">
        <w:rPr>
          <w:rFonts w:ascii="Garamond" w:hAnsi="Garamond"/>
          <w:sz w:val="24"/>
          <w:szCs w:val="24"/>
        </w:rPr>
        <w:t>“</w:t>
      </w:r>
      <w:r>
        <w:rPr>
          <w:rFonts w:ascii="Garamond" w:hAnsi="Garamond"/>
          <w:sz w:val="24"/>
          <w:szCs w:val="24"/>
        </w:rPr>
        <w:t>economically appropriate,</w:t>
      </w:r>
      <w:r w:rsidR="003903EB">
        <w:rPr>
          <w:rFonts w:ascii="Garamond" w:hAnsi="Garamond"/>
          <w:sz w:val="24"/>
          <w:szCs w:val="24"/>
        </w:rPr>
        <w:t>”</w:t>
      </w:r>
      <w:r>
        <w:rPr>
          <w:rFonts w:ascii="Garamond" w:hAnsi="Garamond"/>
          <w:sz w:val="24"/>
          <w:szCs w:val="24"/>
        </w:rPr>
        <w:t xml:space="preserve"> and </w:t>
      </w:r>
      <w:r w:rsidRPr="005B14A3">
        <w:rPr>
          <w:rFonts w:ascii="Garamond" w:hAnsi="Garamond"/>
          <w:sz w:val="24"/>
          <w:szCs w:val="24"/>
        </w:rPr>
        <w:t xml:space="preserve">the ability to hedge electricity with natural gas is a well-recognized </w:t>
      </w:r>
      <w:r>
        <w:rPr>
          <w:rFonts w:ascii="Garamond" w:hAnsi="Garamond"/>
          <w:sz w:val="24"/>
          <w:szCs w:val="24"/>
        </w:rPr>
        <w:t xml:space="preserve">and commercially </w:t>
      </w:r>
      <w:r w:rsidRPr="005B14A3">
        <w:rPr>
          <w:rFonts w:ascii="Garamond" w:hAnsi="Garamond"/>
          <w:sz w:val="24"/>
          <w:szCs w:val="24"/>
        </w:rPr>
        <w:t>reasonable cross hedge</w:t>
      </w:r>
      <w:r>
        <w:rPr>
          <w:rFonts w:ascii="Garamond" w:hAnsi="Garamond"/>
          <w:sz w:val="24"/>
          <w:szCs w:val="24"/>
        </w:rPr>
        <w:t xml:space="preserve">. </w:t>
      </w:r>
      <w:r w:rsidRPr="005B14A3">
        <w:rPr>
          <w:rFonts w:ascii="Garamond" w:hAnsi="Garamond"/>
          <w:sz w:val="24"/>
          <w:szCs w:val="24"/>
        </w:rPr>
        <w:t xml:space="preserve"> Electricity is a commodity that cannot be readily stored and for which many related derivatives contracts have little liquidity, particularly in long-dated out months and at lower volume delivery points.  In contrast, natural gas can be stored and related derivatives contracts are often liquid in long-dated out months.  Moreover, given that many power plants use natural gas as the primary fuel to generate electricity, the relationship between these commodities is well established</w:t>
      </w:r>
      <w:r w:rsidR="009B6676">
        <w:rPr>
          <w:rFonts w:ascii="Garamond" w:hAnsi="Garamond"/>
          <w:sz w:val="24"/>
          <w:szCs w:val="24"/>
        </w:rPr>
        <w:t>.  I</w:t>
      </w:r>
      <w:r w:rsidRPr="005B14A3">
        <w:rPr>
          <w:rFonts w:ascii="Garamond" w:hAnsi="Garamond"/>
          <w:sz w:val="24"/>
          <w:szCs w:val="24"/>
        </w:rPr>
        <w:t xml:space="preserve">n fact, they are often used together in the form of heat rate transactions to hedge the profitability of a power plant.  </w:t>
      </w:r>
    </w:p>
    <w:p w14:paraId="42BCD9B8" w14:textId="77777777" w:rsidR="00DB4FC4" w:rsidRDefault="00DB4FC4" w:rsidP="00DB4FC4">
      <w:pPr>
        <w:jc w:val="both"/>
        <w:rPr>
          <w:rFonts w:ascii="Garamond" w:hAnsi="Garamond"/>
          <w:sz w:val="24"/>
          <w:szCs w:val="24"/>
        </w:rPr>
      </w:pPr>
    </w:p>
    <w:p w14:paraId="61F9437B" w14:textId="146D3602" w:rsidR="00DB4FC4" w:rsidRPr="008A4963" w:rsidRDefault="00DB4FC4" w:rsidP="00B5673F">
      <w:pPr>
        <w:ind w:firstLine="720"/>
        <w:jc w:val="both"/>
        <w:rPr>
          <w:rFonts w:ascii="Garamond" w:hAnsi="Garamond"/>
          <w:sz w:val="24"/>
          <w:szCs w:val="24"/>
        </w:rPr>
      </w:pPr>
      <w:r>
        <w:rPr>
          <w:rFonts w:ascii="Garamond" w:hAnsi="Garamond"/>
          <w:sz w:val="24"/>
          <w:szCs w:val="24"/>
        </w:rPr>
        <w:t xml:space="preserve">In addition, the </w:t>
      </w:r>
      <w:r w:rsidRPr="008A4963">
        <w:rPr>
          <w:rFonts w:ascii="Garamond" w:hAnsi="Garamond"/>
          <w:sz w:val="24"/>
          <w:szCs w:val="24"/>
        </w:rPr>
        <w:t>Commission's suggested numerical test is inappropriate because it fails to take th</w:t>
      </w:r>
      <w:r>
        <w:rPr>
          <w:rFonts w:ascii="Garamond" w:hAnsi="Garamond"/>
          <w:sz w:val="24"/>
          <w:szCs w:val="24"/>
        </w:rPr>
        <w:t xml:space="preserve">ese and other contextual items, </w:t>
      </w:r>
      <w:r w:rsidRPr="008A4963">
        <w:rPr>
          <w:rFonts w:ascii="Garamond" w:hAnsi="Garamond"/>
          <w:sz w:val="24"/>
          <w:szCs w:val="24"/>
        </w:rPr>
        <w:t xml:space="preserve">such as </w:t>
      </w:r>
      <w:r>
        <w:rPr>
          <w:rFonts w:ascii="Garamond" w:hAnsi="Garamond"/>
          <w:sz w:val="24"/>
          <w:szCs w:val="24"/>
        </w:rPr>
        <w:t xml:space="preserve">the </w:t>
      </w:r>
      <w:r w:rsidRPr="008A4963">
        <w:rPr>
          <w:rFonts w:ascii="Garamond" w:hAnsi="Garamond"/>
          <w:sz w:val="24"/>
          <w:szCs w:val="24"/>
        </w:rPr>
        <w:t>availability, or lack</w:t>
      </w:r>
      <w:r>
        <w:rPr>
          <w:rFonts w:ascii="Garamond" w:hAnsi="Garamond"/>
          <w:sz w:val="24"/>
          <w:szCs w:val="24"/>
        </w:rPr>
        <w:t xml:space="preserve"> thereof, of alternative hedges</w:t>
      </w:r>
      <w:r w:rsidRPr="008A4963">
        <w:rPr>
          <w:rFonts w:ascii="Garamond" w:hAnsi="Garamond"/>
          <w:sz w:val="24"/>
          <w:szCs w:val="24"/>
        </w:rPr>
        <w:t xml:space="preserve"> </w:t>
      </w:r>
      <w:r w:rsidRPr="008A4963">
        <w:rPr>
          <w:rFonts w:ascii="Garamond" w:hAnsi="Garamond"/>
          <w:sz w:val="24"/>
          <w:szCs w:val="24"/>
        </w:rPr>
        <w:lastRenderedPageBreak/>
        <w:t>into account.  For these reasons, the Commission should revise its guidance regarding cross</w:t>
      </w:r>
      <w:r w:rsidR="00CE1DBD">
        <w:rPr>
          <w:rFonts w:ascii="Garamond" w:hAnsi="Garamond"/>
          <w:sz w:val="24"/>
          <w:szCs w:val="24"/>
        </w:rPr>
        <w:t xml:space="preserve"> </w:t>
      </w:r>
      <w:r w:rsidRPr="008A4963">
        <w:rPr>
          <w:rFonts w:ascii="Garamond" w:hAnsi="Garamond"/>
          <w:sz w:val="24"/>
          <w:szCs w:val="24"/>
        </w:rPr>
        <w:t xml:space="preserve">commodity hedges to recognize that </w:t>
      </w:r>
      <w:r>
        <w:rPr>
          <w:rFonts w:ascii="Garamond" w:hAnsi="Garamond"/>
          <w:sz w:val="24"/>
          <w:szCs w:val="24"/>
        </w:rPr>
        <w:t xml:space="preserve">certain </w:t>
      </w:r>
      <w:r w:rsidRPr="008A4963">
        <w:rPr>
          <w:rFonts w:ascii="Garamond" w:hAnsi="Garamond"/>
          <w:sz w:val="24"/>
          <w:szCs w:val="24"/>
        </w:rPr>
        <w:t>deriv</w:t>
      </w:r>
      <w:r>
        <w:rPr>
          <w:rFonts w:ascii="Garamond" w:hAnsi="Garamond"/>
          <w:sz w:val="24"/>
          <w:szCs w:val="24"/>
        </w:rPr>
        <w:t>atives positions can satisfy the</w:t>
      </w:r>
      <w:r w:rsidRPr="008A4963">
        <w:rPr>
          <w:rFonts w:ascii="Garamond" w:hAnsi="Garamond"/>
          <w:sz w:val="24"/>
          <w:szCs w:val="24"/>
        </w:rPr>
        <w:t xml:space="preserve"> </w:t>
      </w:r>
      <w:r w:rsidR="00D8081A">
        <w:rPr>
          <w:rFonts w:ascii="Garamond" w:hAnsi="Garamond"/>
          <w:sz w:val="24"/>
          <w:szCs w:val="24"/>
        </w:rPr>
        <w:t>“</w:t>
      </w:r>
      <w:r w:rsidRPr="008A4963">
        <w:rPr>
          <w:rFonts w:ascii="Garamond" w:hAnsi="Garamond"/>
          <w:sz w:val="24"/>
          <w:szCs w:val="24"/>
        </w:rPr>
        <w:t>substantially related</w:t>
      </w:r>
      <w:r w:rsidR="00D8081A">
        <w:rPr>
          <w:rFonts w:ascii="Garamond" w:hAnsi="Garamond"/>
          <w:sz w:val="24"/>
          <w:szCs w:val="24"/>
        </w:rPr>
        <w:t>”</w:t>
      </w:r>
      <w:r w:rsidRPr="008A4963">
        <w:rPr>
          <w:rFonts w:ascii="Garamond" w:hAnsi="Garamond"/>
          <w:sz w:val="24"/>
          <w:szCs w:val="24"/>
        </w:rPr>
        <w:t xml:space="preserve"> test for the enumerated </w:t>
      </w:r>
      <w:r w:rsidRPr="0079290C">
        <w:rPr>
          <w:rFonts w:ascii="Garamond" w:hAnsi="Garamond"/>
          <w:i/>
          <w:sz w:val="24"/>
          <w:szCs w:val="24"/>
        </w:rPr>
        <w:t>bona fide</w:t>
      </w:r>
      <w:r>
        <w:rPr>
          <w:rFonts w:ascii="Garamond" w:hAnsi="Garamond"/>
          <w:sz w:val="24"/>
          <w:szCs w:val="24"/>
        </w:rPr>
        <w:t xml:space="preserve"> hedging position </w:t>
      </w:r>
      <w:r w:rsidRPr="008A4963">
        <w:rPr>
          <w:rFonts w:ascii="Garamond" w:hAnsi="Garamond"/>
          <w:sz w:val="24"/>
          <w:szCs w:val="24"/>
        </w:rPr>
        <w:t xml:space="preserve">exemption or at least be </w:t>
      </w:r>
      <w:r w:rsidR="00D8081A">
        <w:rPr>
          <w:rFonts w:ascii="Garamond" w:hAnsi="Garamond"/>
          <w:sz w:val="24"/>
          <w:szCs w:val="24"/>
        </w:rPr>
        <w:t>“</w:t>
      </w:r>
      <w:r w:rsidRPr="008A4963">
        <w:rPr>
          <w:rFonts w:ascii="Garamond" w:hAnsi="Garamond"/>
          <w:sz w:val="24"/>
          <w:szCs w:val="24"/>
        </w:rPr>
        <w:t>economically appropriate</w:t>
      </w:r>
      <w:r w:rsidR="00D8081A">
        <w:rPr>
          <w:rFonts w:ascii="Garamond" w:hAnsi="Garamond"/>
          <w:sz w:val="24"/>
          <w:szCs w:val="24"/>
        </w:rPr>
        <w:t>”</w:t>
      </w:r>
      <w:r w:rsidRPr="008A4963">
        <w:rPr>
          <w:rFonts w:ascii="Garamond" w:hAnsi="Garamond"/>
          <w:sz w:val="24"/>
          <w:szCs w:val="24"/>
        </w:rPr>
        <w:t xml:space="preserve"> for purposes of the NEBFH exemption.</w:t>
      </w:r>
    </w:p>
    <w:p w14:paraId="329EA525" w14:textId="77777777" w:rsidR="00DB4FC4" w:rsidRDefault="00DB4FC4" w:rsidP="00DB4FC4">
      <w:pPr>
        <w:jc w:val="both"/>
        <w:rPr>
          <w:rFonts w:ascii="Garamond" w:hAnsi="Garamond"/>
          <w:sz w:val="24"/>
          <w:szCs w:val="24"/>
        </w:rPr>
      </w:pPr>
    </w:p>
    <w:p w14:paraId="3A5ACA90" w14:textId="182807BF" w:rsidR="00397293" w:rsidRDefault="00DB4FC4" w:rsidP="00B5673F">
      <w:pPr>
        <w:ind w:firstLine="720"/>
        <w:jc w:val="both"/>
        <w:rPr>
          <w:rFonts w:ascii="Garamond" w:hAnsi="Garamond"/>
          <w:b/>
          <w:sz w:val="24"/>
          <w:szCs w:val="24"/>
        </w:rPr>
      </w:pPr>
      <w:r w:rsidRPr="005B14A3">
        <w:rPr>
          <w:rFonts w:ascii="Garamond" w:hAnsi="Garamond"/>
          <w:sz w:val="24"/>
          <w:szCs w:val="24"/>
        </w:rPr>
        <w:t>In even a cursory review, examples can be found in which a cross</w:t>
      </w:r>
      <w:r w:rsidR="00B915E9">
        <w:rPr>
          <w:rFonts w:ascii="Garamond" w:hAnsi="Garamond"/>
          <w:sz w:val="24"/>
          <w:szCs w:val="24"/>
        </w:rPr>
        <w:t xml:space="preserve"> </w:t>
      </w:r>
      <w:r w:rsidRPr="005B14A3">
        <w:rPr>
          <w:rFonts w:ascii="Garamond" w:hAnsi="Garamond"/>
          <w:sz w:val="24"/>
          <w:szCs w:val="24"/>
        </w:rPr>
        <w:t>hedge of two contracts with the same underlying commodity would not achieve a 0.8 correlation, such as corn</w:t>
      </w:r>
      <w:r>
        <w:rPr>
          <w:rFonts w:ascii="Garamond" w:hAnsi="Garamond"/>
          <w:sz w:val="24"/>
          <w:szCs w:val="24"/>
        </w:rPr>
        <w:t xml:space="preserve">, </w:t>
      </w:r>
      <w:r w:rsidRPr="005B14A3">
        <w:rPr>
          <w:rFonts w:ascii="Garamond" w:hAnsi="Garamond"/>
          <w:sz w:val="24"/>
          <w:szCs w:val="24"/>
        </w:rPr>
        <w:t>natural gas</w:t>
      </w:r>
      <w:r>
        <w:rPr>
          <w:rFonts w:ascii="Garamond" w:hAnsi="Garamond"/>
          <w:sz w:val="24"/>
          <w:szCs w:val="24"/>
        </w:rPr>
        <w:t xml:space="preserve">, or C5 Diluent </w:t>
      </w:r>
      <w:r w:rsidRPr="005B14A3">
        <w:rPr>
          <w:rFonts w:ascii="Garamond" w:hAnsi="Garamond"/>
          <w:sz w:val="24"/>
          <w:szCs w:val="24"/>
        </w:rPr>
        <w:t>contracts delivered in two different locations.  Additionally, end-users may need to utilize cross</w:t>
      </w:r>
      <w:r w:rsidR="00F37049">
        <w:rPr>
          <w:rFonts w:ascii="Garamond" w:hAnsi="Garamond"/>
          <w:sz w:val="24"/>
          <w:szCs w:val="24"/>
        </w:rPr>
        <w:t xml:space="preserve"> </w:t>
      </w:r>
      <w:r w:rsidRPr="005B14A3">
        <w:rPr>
          <w:rFonts w:ascii="Garamond" w:hAnsi="Garamond"/>
          <w:sz w:val="24"/>
          <w:szCs w:val="24"/>
        </w:rPr>
        <w:t>hedging in cases where seasonality impacts the correlation between the two commodities.  CMC members believe that a position limits regime where risk managers can freely select their cross</w:t>
      </w:r>
      <w:r w:rsidR="00B915E9">
        <w:rPr>
          <w:rFonts w:ascii="Garamond" w:hAnsi="Garamond"/>
          <w:sz w:val="24"/>
          <w:szCs w:val="24"/>
        </w:rPr>
        <w:t xml:space="preserve"> </w:t>
      </w:r>
      <w:r w:rsidRPr="005B14A3">
        <w:rPr>
          <w:rFonts w:ascii="Garamond" w:hAnsi="Garamond"/>
          <w:sz w:val="24"/>
          <w:szCs w:val="24"/>
        </w:rPr>
        <w:t>hedges, report them as such</w:t>
      </w:r>
      <w:r w:rsidR="00B5673F">
        <w:rPr>
          <w:rFonts w:ascii="Garamond" w:hAnsi="Garamond"/>
          <w:sz w:val="24"/>
          <w:szCs w:val="24"/>
        </w:rPr>
        <w:t>,</w:t>
      </w:r>
      <w:r w:rsidRPr="005B14A3">
        <w:rPr>
          <w:rFonts w:ascii="Garamond" w:hAnsi="Garamond"/>
          <w:sz w:val="24"/>
          <w:szCs w:val="24"/>
        </w:rPr>
        <w:t xml:space="preserve"> and stand ready to explain them to the Commission if necessary is the proper regulatory design.  Additionally, </w:t>
      </w:r>
      <w:r>
        <w:rPr>
          <w:rFonts w:ascii="Garamond" w:hAnsi="Garamond"/>
          <w:sz w:val="24"/>
          <w:szCs w:val="24"/>
        </w:rPr>
        <w:t xml:space="preserve">exchanges </w:t>
      </w:r>
      <w:r w:rsidRPr="005E4438">
        <w:rPr>
          <w:rFonts w:ascii="Garamond" w:hAnsi="Garamond"/>
          <w:sz w:val="24"/>
          <w:szCs w:val="24"/>
        </w:rPr>
        <w:t>should be permitted to set restrictions on a contract-by-contract basis, recognizing the unique characteristics of each individual commodity and contract, and the need (or lack thereof) for commercial end-users to continue to utilize cross</w:t>
      </w:r>
      <w:r w:rsidR="008322F9">
        <w:rPr>
          <w:rFonts w:ascii="Garamond" w:hAnsi="Garamond"/>
          <w:sz w:val="24"/>
          <w:szCs w:val="24"/>
        </w:rPr>
        <w:t xml:space="preserve"> </w:t>
      </w:r>
      <w:r w:rsidRPr="005E4438">
        <w:rPr>
          <w:rFonts w:ascii="Garamond" w:hAnsi="Garamond"/>
          <w:sz w:val="24"/>
          <w:szCs w:val="24"/>
        </w:rPr>
        <w:t>commodity hedges in a specific market during the spot month, near month, or in the last five trading days.</w:t>
      </w:r>
    </w:p>
    <w:p w14:paraId="38B9D7B1" w14:textId="77777777" w:rsidR="00DB4FC4" w:rsidRPr="00901C48" w:rsidRDefault="00DB4FC4" w:rsidP="00CA225A">
      <w:pPr>
        <w:jc w:val="both"/>
        <w:rPr>
          <w:rFonts w:ascii="Garamond" w:hAnsi="Garamond"/>
          <w:sz w:val="24"/>
          <w:szCs w:val="24"/>
        </w:rPr>
      </w:pPr>
    </w:p>
    <w:p w14:paraId="1F09C0B0" w14:textId="16B789C6" w:rsidR="00CA225A" w:rsidRPr="00F04B94" w:rsidRDefault="00CA225A" w:rsidP="00F04B94">
      <w:pPr>
        <w:pStyle w:val="ListParagraph"/>
        <w:numPr>
          <w:ilvl w:val="0"/>
          <w:numId w:val="20"/>
        </w:numPr>
        <w:jc w:val="both"/>
        <w:rPr>
          <w:rFonts w:ascii="Garamond" w:hAnsi="Garamond"/>
          <w:b/>
        </w:rPr>
      </w:pPr>
      <w:r w:rsidRPr="00F04B94">
        <w:rPr>
          <w:rFonts w:ascii="Garamond" w:hAnsi="Garamond"/>
          <w:b/>
        </w:rPr>
        <w:t>Non-E</w:t>
      </w:r>
      <w:r w:rsidR="0007713A" w:rsidRPr="00F04B94">
        <w:rPr>
          <w:rFonts w:ascii="Garamond" w:hAnsi="Garamond"/>
          <w:b/>
        </w:rPr>
        <w:t>numerated Hedge Exemptions</w:t>
      </w:r>
      <w:r w:rsidRPr="00F04B94">
        <w:rPr>
          <w:rFonts w:ascii="Garamond" w:hAnsi="Garamond"/>
          <w:b/>
        </w:rPr>
        <w:t xml:space="preserve"> and Spread Exemptions</w:t>
      </w:r>
    </w:p>
    <w:p w14:paraId="7DBEBC63" w14:textId="77777777" w:rsidR="00F55CD2" w:rsidRPr="00F55CD2" w:rsidRDefault="00F55CD2" w:rsidP="00F55CD2">
      <w:pPr>
        <w:jc w:val="both"/>
        <w:rPr>
          <w:rFonts w:ascii="Garamond" w:hAnsi="Garamond"/>
        </w:rPr>
      </w:pPr>
    </w:p>
    <w:p w14:paraId="0FA6F858" w14:textId="561F9E5F" w:rsidR="00B876B2" w:rsidRDefault="008F5E21" w:rsidP="00B5673F">
      <w:pPr>
        <w:ind w:firstLine="720"/>
        <w:jc w:val="both"/>
        <w:rPr>
          <w:rFonts w:ascii="Garamond" w:hAnsi="Garamond"/>
          <w:sz w:val="24"/>
          <w:szCs w:val="24"/>
        </w:rPr>
      </w:pPr>
      <w:r>
        <w:rPr>
          <w:rFonts w:ascii="Garamond" w:hAnsi="Garamond"/>
          <w:sz w:val="24"/>
          <w:szCs w:val="24"/>
        </w:rPr>
        <w:t xml:space="preserve">While the Supplemental Proposal delegates to the exchanges the authority to grant NEBFH and spread exemptions, the Commission should authorize the exchanges to grant </w:t>
      </w:r>
      <w:r w:rsidR="0031775B">
        <w:rPr>
          <w:rFonts w:ascii="Garamond" w:hAnsi="Garamond"/>
          <w:i/>
          <w:sz w:val="24"/>
          <w:szCs w:val="24"/>
        </w:rPr>
        <w:t xml:space="preserve">bona fide </w:t>
      </w:r>
      <w:r w:rsidR="0031775B">
        <w:rPr>
          <w:rFonts w:ascii="Garamond" w:hAnsi="Garamond"/>
          <w:sz w:val="24"/>
          <w:szCs w:val="24"/>
        </w:rPr>
        <w:t>hedges (“</w:t>
      </w:r>
      <w:r w:rsidR="00ED73B9">
        <w:rPr>
          <w:rFonts w:ascii="Garamond" w:hAnsi="Garamond"/>
          <w:sz w:val="24"/>
          <w:szCs w:val="24"/>
        </w:rPr>
        <w:t>BFH</w:t>
      </w:r>
      <w:r w:rsidR="0031775B">
        <w:rPr>
          <w:rFonts w:ascii="Garamond" w:hAnsi="Garamond"/>
          <w:sz w:val="24"/>
          <w:szCs w:val="24"/>
        </w:rPr>
        <w:t>”)</w:t>
      </w:r>
      <w:r w:rsidR="00ED73B9">
        <w:rPr>
          <w:rFonts w:ascii="Garamond" w:hAnsi="Garamond"/>
          <w:sz w:val="24"/>
          <w:szCs w:val="24"/>
        </w:rPr>
        <w:t xml:space="preserve">, </w:t>
      </w:r>
      <w:r>
        <w:rPr>
          <w:rFonts w:ascii="Garamond" w:hAnsi="Garamond"/>
          <w:sz w:val="24"/>
          <w:szCs w:val="24"/>
        </w:rPr>
        <w:t>NEBFH</w:t>
      </w:r>
      <w:r w:rsidR="0031775B">
        <w:rPr>
          <w:rFonts w:ascii="Garamond" w:hAnsi="Garamond"/>
          <w:sz w:val="24"/>
          <w:szCs w:val="24"/>
        </w:rPr>
        <w:t>,</w:t>
      </w:r>
      <w:r>
        <w:rPr>
          <w:rFonts w:ascii="Garamond" w:hAnsi="Garamond"/>
          <w:sz w:val="24"/>
          <w:szCs w:val="24"/>
        </w:rPr>
        <w:t xml:space="preserve"> and spread exemptions during the last five days of trading or less. </w:t>
      </w:r>
      <w:r w:rsidR="00A21525">
        <w:rPr>
          <w:rFonts w:ascii="Garamond" w:hAnsi="Garamond"/>
          <w:sz w:val="24"/>
          <w:szCs w:val="24"/>
        </w:rPr>
        <w:t xml:space="preserve"> CMC asks that the Commission</w:t>
      </w:r>
      <w:r w:rsidR="00275B04">
        <w:rPr>
          <w:rFonts w:ascii="Garamond" w:hAnsi="Garamond"/>
          <w:sz w:val="24"/>
          <w:szCs w:val="24"/>
        </w:rPr>
        <w:t xml:space="preserve"> delegate to the exchange</w:t>
      </w:r>
      <w:r w:rsidR="00A21525">
        <w:rPr>
          <w:rFonts w:ascii="Garamond" w:hAnsi="Garamond"/>
          <w:sz w:val="24"/>
          <w:szCs w:val="24"/>
        </w:rPr>
        <w:t>s</w:t>
      </w:r>
      <w:r w:rsidR="00275B04">
        <w:rPr>
          <w:rFonts w:ascii="Garamond" w:hAnsi="Garamond"/>
          <w:sz w:val="24"/>
          <w:szCs w:val="24"/>
        </w:rPr>
        <w:t>, not only the ability to grant NEBFH and spread exemptions during the last five days of trading, but also</w:t>
      </w:r>
      <w:r w:rsidR="007221F4">
        <w:rPr>
          <w:rFonts w:ascii="Garamond" w:hAnsi="Garamond"/>
          <w:sz w:val="24"/>
          <w:szCs w:val="24"/>
        </w:rPr>
        <w:t xml:space="preserve"> the ability to grant exemptions for</w:t>
      </w:r>
      <w:r w:rsidR="00275B04">
        <w:rPr>
          <w:rFonts w:ascii="Garamond" w:hAnsi="Garamond"/>
          <w:sz w:val="24"/>
          <w:szCs w:val="24"/>
        </w:rPr>
        <w:t xml:space="preserve"> </w:t>
      </w:r>
      <w:r w:rsidR="00B876B2">
        <w:rPr>
          <w:rFonts w:ascii="Garamond" w:hAnsi="Garamond"/>
          <w:sz w:val="24"/>
          <w:szCs w:val="24"/>
        </w:rPr>
        <w:t xml:space="preserve">long-standing hedging practices </w:t>
      </w:r>
      <w:r w:rsidR="00790875">
        <w:rPr>
          <w:rFonts w:ascii="Garamond" w:hAnsi="Garamond"/>
          <w:sz w:val="24"/>
          <w:szCs w:val="24"/>
        </w:rPr>
        <w:t xml:space="preserve">that were </w:t>
      </w:r>
      <w:r w:rsidR="00B876B2">
        <w:rPr>
          <w:rFonts w:ascii="Garamond" w:hAnsi="Garamond"/>
          <w:sz w:val="24"/>
          <w:szCs w:val="24"/>
        </w:rPr>
        <w:t>not</w:t>
      </w:r>
      <w:r w:rsidR="00573943">
        <w:rPr>
          <w:rFonts w:ascii="Garamond" w:hAnsi="Garamond"/>
          <w:sz w:val="24"/>
          <w:szCs w:val="24"/>
        </w:rPr>
        <w:t xml:space="preserve"> addressed</w:t>
      </w:r>
      <w:r w:rsidR="00B876B2">
        <w:rPr>
          <w:rFonts w:ascii="Garamond" w:hAnsi="Garamond"/>
          <w:sz w:val="24"/>
          <w:szCs w:val="24"/>
        </w:rPr>
        <w:t xml:space="preserve"> in the Supplemental Proposal.</w:t>
      </w:r>
      <w:r>
        <w:rPr>
          <w:rFonts w:ascii="Garamond" w:hAnsi="Garamond"/>
          <w:sz w:val="24"/>
          <w:szCs w:val="24"/>
        </w:rPr>
        <w:t xml:space="preserve"> </w:t>
      </w:r>
      <w:r w:rsidR="00B876B2">
        <w:rPr>
          <w:rFonts w:ascii="Garamond" w:hAnsi="Garamond"/>
          <w:sz w:val="24"/>
          <w:szCs w:val="24"/>
        </w:rPr>
        <w:t xml:space="preserve"> </w:t>
      </w:r>
    </w:p>
    <w:p w14:paraId="6225F90F" w14:textId="77777777" w:rsidR="00B876B2" w:rsidRDefault="00B876B2" w:rsidP="002009E7">
      <w:pPr>
        <w:jc w:val="both"/>
        <w:rPr>
          <w:rFonts w:ascii="Garamond" w:hAnsi="Garamond"/>
          <w:sz w:val="24"/>
          <w:szCs w:val="24"/>
        </w:rPr>
      </w:pPr>
    </w:p>
    <w:p w14:paraId="2D2F0C27" w14:textId="7989EF61" w:rsidR="0031775B" w:rsidRPr="002A0AB8" w:rsidRDefault="00170F82" w:rsidP="002A0AB8">
      <w:pPr>
        <w:pStyle w:val="ListParagraph"/>
        <w:numPr>
          <w:ilvl w:val="0"/>
          <w:numId w:val="29"/>
        </w:numPr>
        <w:ind w:left="1440"/>
        <w:rPr>
          <w:b/>
        </w:rPr>
      </w:pPr>
      <w:r w:rsidRPr="002A0AB8">
        <w:rPr>
          <w:rFonts w:ascii="Garamond" w:hAnsi="Garamond"/>
          <w:b/>
        </w:rPr>
        <w:t xml:space="preserve">Prohibition on the Last Five Days of Trading </w:t>
      </w:r>
    </w:p>
    <w:p w14:paraId="1326C63B" w14:textId="77777777" w:rsidR="00DD75FA" w:rsidRDefault="00DD75FA" w:rsidP="00780407">
      <w:pPr>
        <w:jc w:val="both"/>
        <w:rPr>
          <w:rFonts w:ascii="Garamond" w:hAnsi="Garamond"/>
          <w:sz w:val="24"/>
          <w:szCs w:val="24"/>
        </w:rPr>
      </w:pPr>
    </w:p>
    <w:p w14:paraId="4F8F468E" w14:textId="18DA9DE5" w:rsidR="003F609E" w:rsidRDefault="002009E7" w:rsidP="00B5673F">
      <w:pPr>
        <w:ind w:firstLine="720"/>
        <w:jc w:val="both"/>
        <w:rPr>
          <w:rFonts w:ascii="Garamond" w:hAnsi="Garamond"/>
          <w:sz w:val="24"/>
          <w:szCs w:val="24"/>
        </w:rPr>
      </w:pPr>
      <w:r w:rsidRPr="002009E7">
        <w:rPr>
          <w:rFonts w:ascii="Garamond" w:hAnsi="Garamond"/>
          <w:sz w:val="24"/>
          <w:szCs w:val="24"/>
        </w:rPr>
        <w:t>The Supplemental</w:t>
      </w:r>
      <w:r w:rsidR="009C38FC">
        <w:rPr>
          <w:rFonts w:ascii="Garamond" w:hAnsi="Garamond"/>
          <w:sz w:val="24"/>
          <w:szCs w:val="24"/>
        </w:rPr>
        <w:t xml:space="preserve"> Proposal</w:t>
      </w:r>
      <w:r w:rsidRPr="002009E7">
        <w:rPr>
          <w:rFonts w:ascii="Garamond" w:hAnsi="Garamond"/>
          <w:sz w:val="24"/>
          <w:szCs w:val="24"/>
        </w:rPr>
        <w:t xml:space="preserve"> requests comments regardi</w:t>
      </w:r>
      <w:r w:rsidR="009C38FC">
        <w:rPr>
          <w:rFonts w:ascii="Garamond" w:hAnsi="Garamond"/>
          <w:sz w:val="24"/>
          <w:szCs w:val="24"/>
        </w:rPr>
        <w:t>ng a contemplated prohibition on</w:t>
      </w:r>
      <w:r w:rsidRPr="002009E7">
        <w:rPr>
          <w:rFonts w:ascii="Garamond" w:hAnsi="Garamond"/>
          <w:sz w:val="24"/>
          <w:szCs w:val="24"/>
        </w:rPr>
        <w:t xml:space="preserve"> the granting of hedge exemptio</w:t>
      </w:r>
      <w:r w:rsidR="009C38FC">
        <w:rPr>
          <w:rFonts w:ascii="Garamond" w:hAnsi="Garamond"/>
          <w:sz w:val="24"/>
          <w:szCs w:val="24"/>
        </w:rPr>
        <w:t>ns for spreads during the last five</w:t>
      </w:r>
      <w:r w:rsidRPr="002009E7">
        <w:rPr>
          <w:rFonts w:ascii="Garamond" w:hAnsi="Garamond"/>
          <w:sz w:val="24"/>
          <w:szCs w:val="24"/>
        </w:rPr>
        <w:t xml:space="preserve"> days of trading.</w:t>
      </w:r>
      <w:r w:rsidR="0002733E">
        <w:rPr>
          <w:rStyle w:val="FootnoteReference"/>
          <w:rFonts w:ascii="Garamond" w:hAnsi="Garamond"/>
          <w:sz w:val="24"/>
          <w:szCs w:val="24"/>
        </w:rPr>
        <w:footnoteReference w:id="17"/>
      </w:r>
      <w:r w:rsidR="00C403A5">
        <w:rPr>
          <w:rFonts w:ascii="Garamond" w:hAnsi="Garamond"/>
          <w:sz w:val="24"/>
          <w:szCs w:val="24"/>
        </w:rPr>
        <w:t xml:space="preserve">  </w:t>
      </w:r>
      <w:r w:rsidR="009C38FC">
        <w:rPr>
          <w:rFonts w:ascii="Garamond" w:hAnsi="Garamond"/>
          <w:sz w:val="24"/>
          <w:szCs w:val="24"/>
        </w:rPr>
        <w:t>CMC respectfully</w:t>
      </w:r>
      <w:r w:rsidRPr="002009E7">
        <w:rPr>
          <w:rFonts w:ascii="Garamond" w:hAnsi="Garamond"/>
          <w:sz w:val="24"/>
          <w:szCs w:val="24"/>
        </w:rPr>
        <w:t xml:space="preserve"> opposes this prohibition</w:t>
      </w:r>
      <w:r w:rsidR="009C38FC">
        <w:rPr>
          <w:rFonts w:ascii="Garamond" w:hAnsi="Garamond"/>
          <w:sz w:val="24"/>
          <w:szCs w:val="24"/>
        </w:rPr>
        <w:t xml:space="preserve"> for the following reasons</w:t>
      </w:r>
      <w:r w:rsidRPr="002009E7">
        <w:rPr>
          <w:rFonts w:ascii="Garamond" w:hAnsi="Garamond"/>
          <w:sz w:val="24"/>
          <w:szCs w:val="24"/>
        </w:rPr>
        <w:t xml:space="preserve">.  </w:t>
      </w:r>
      <w:r w:rsidR="00C403A5">
        <w:rPr>
          <w:rFonts w:ascii="Garamond" w:hAnsi="Garamond"/>
          <w:sz w:val="24"/>
          <w:szCs w:val="24"/>
        </w:rPr>
        <w:t>First,</w:t>
      </w:r>
      <w:r w:rsidR="00C403A5" w:rsidRPr="002009E7">
        <w:rPr>
          <w:rFonts w:ascii="Garamond" w:hAnsi="Garamond"/>
          <w:sz w:val="24"/>
          <w:szCs w:val="24"/>
        </w:rPr>
        <w:t xml:space="preserve"> </w:t>
      </w:r>
      <w:r w:rsidR="00C403A5">
        <w:rPr>
          <w:rFonts w:ascii="Garamond" w:hAnsi="Garamond"/>
          <w:sz w:val="24"/>
          <w:szCs w:val="24"/>
        </w:rPr>
        <w:t>there appears to be no</w:t>
      </w:r>
      <w:r w:rsidR="00C403A5" w:rsidRPr="002009E7">
        <w:rPr>
          <w:rFonts w:ascii="Garamond" w:hAnsi="Garamond"/>
          <w:sz w:val="24"/>
          <w:szCs w:val="24"/>
        </w:rPr>
        <w:t xml:space="preserve"> statutory authority to impose a prohibit</w:t>
      </w:r>
      <w:r w:rsidR="00C403A5">
        <w:rPr>
          <w:rFonts w:ascii="Garamond" w:hAnsi="Garamond"/>
          <w:sz w:val="24"/>
          <w:szCs w:val="24"/>
        </w:rPr>
        <w:t>ion during the last five</w:t>
      </w:r>
      <w:r w:rsidR="00C403A5" w:rsidRPr="002009E7">
        <w:rPr>
          <w:rFonts w:ascii="Garamond" w:hAnsi="Garamond"/>
          <w:sz w:val="24"/>
          <w:szCs w:val="24"/>
        </w:rPr>
        <w:t xml:space="preserve"> days of trading.</w:t>
      </w:r>
      <w:r w:rsidR="00C403A5">
        <w:rPr>
          <w:rStyle w:val="FootnoteReference"/>
          <w:rFonts w:ascii="Garamond" w:hAnsi="Garamond"/>
          <w:sz w:val="24"/>
          <w:szCs w:val="24"/>
        </w:rPr>
        <w:footnoteReference w:id="18"/>
      </w:r>
      <w:r w:rsidR="003F609E">
        <w:rPr>
          <w:rFonts w:ascii="Garamond" w:hAnsi="Garamond"/>
          <w:sz w:val="24"/>
          <w:szCs w:val="24"/>
        </w:rPr>
        <w:t xml:space="preserve">  Second, a</w:t>
      </w:r>
      <w:r w:rsidR="003F609E" w:rsidRPr="00FF3311">
        <w:rPr>
          <w:rFonts w:ascii="Garamond" w:hAnsi="Garamond"/>
          <w:sz w:val="24"/>
          <w:szCs w:val="24"/>
        </w:rPr>
        <w:t xml:space="preserve"> blank prohibition could lead to </w:t>
      </w:r>
      <w:r w:rsidR="003F609E">
        <w:rPr>
          <w:rFonts w:ascii="Garamond" w:hAnsi="Garamond"/>
          <w:sz w:val="24"/>
          <w:szCs w:val="24"/>
        </w:rPr>
        <w:t xml:space="preserve">reduced </w:t>
      </w:r>
      <w:r w:rsidR="003F609E" w:rsidRPr="00FF3311">
        <w:rPr>
          <w:rFonts w:ascii="Garamond" w:hAnsi="Garamond"/>
          <w:sz w:val="24"/>
          <w:szCs w:val="24"/>
        </w:rPr>
        <w:t xml:space="preserve">liquidity across many contracts </w:t>
      </w:r>
      <w:r w:rsidR="003F609E">
        <w:rPr>
          <w:rFonts w:ascii="Garamond" w:hAnsi="Garamond"/>
          <w:sz w:val="24"/>
          <w:szCs w:val="24"/>
        </w:rPr>
        <w:t xml:space="preserve">in various </w:t>
      </w:r>
      <w:r w:rsidR="003F609E" w:rsidRPr="00FF3311">
        <w:rPr>
          <w:rFonts w:ascii="Garamond" w:hAnsi="Garamond"/>
          <w:sz w:val="24"/>
          <w:szCs w:val="24"/>
        </w:rPr>
        <w:t xml:space="preserve">commodity classes. </w:t>
      </w:r>
      <w:r w:rsidR="003F609E">
        <w:rPr>
          <w:rFonts w:ascii="Garamond" w:hAnsi="Garamond"/>
          <w:sz w:val="24"/>
          <w:szCs w:val="24"/>
        </w:rPr>
        <w:t xml:space="preserve"> </w:t>
      </w:r>
      <w:r w:rsidR="003F609E" w:rsidRPr="002009E7">
        <w:rPr>
          <w:rFonts w:ascii="Garamond" w:hAnsi="Garamond"/>
          <w:sz w:val="24"/>
          <w:szCs w:val="24"/>
        </w:rPr>
        <w:t xml:space="preserve">CMC is concerned that the CFTC’s proposed prohibition will undermine </w:t>
      </w:r>
      <w:r w:rsidR="00FB4E92">
        <w:rPr>
          <w:rFonts w:ascii="Garamond" w:hAnsi="Garamond"/>
          <w:sz w:val="24"/>
          <w:szCs w:val="24"/>
        </w:rPr>
        <w:t xml:space="preserve">futures price </w:t>
      </w:r>
      <w:r w:rsidR="003F609E" w:rsidRPr="002009E7">
        <w:rPr>
          <w:rFonts w:ascii="Garamond" w:hAnsi="Garamond"/>
          <w:sz w:val="24"/>
          <w:szCs w:val="24"/>
        </w:rPr>
        <w:t>convergence</w:t>
      </w:r>
      <w:r w:rsidR="00FB4E92">
        <w:rPr>
          <w:rFonts w:ascii="Garamond" w:hAnsi="Garamond"/>
          <w:sz w:val="24"/>
          <w:szCs w:val="24"/>
        </w:rPr>
        <w:t xml:space="preserve"> with the cash market</w:t>
      </w:r>
      <w:r w:rsidR="003F609E">
        <w:rPr>
          <w:rFonts w:ascii="Garamond" w:hAnsi="Garamond"/>
          <w:sz w:val="24"/>
          <w:szCs w:val="24"/>
        </w:rPr>
        <w:t>,</w:t>
      </w:r>
      <w:r w:rsidR="003F609E" w:rsidRPr="002009E7">
        <w:rPr>
          <w:rFonts w:ascii="Garamond" w:hAnsi="Garamond"/>
          <w:sz w:val="24"/>
          <w:szCs w:val="24"/>
        </w:rPr>
        <w:t xml:space="preserve"> and in </w:t>
      </w:r>
      <w:r w:rsidR="003F609E">
        <w:rPr>
          <w:rFonts w:ascii="Garamond" w:hAnsi="Garamond"/>
          <w:sz w:val="24"/>
          <w:szCs w:val="24"/>
        </w:rPr>
        <w:t>turn</w:t>
      </w:r>
      <w:r w:rsidR="003F609E" w:rsidRPr="002009E7">
        <w:rPr>
          <w:rFonts w:ascii="Garamond" w:hAnsi="Garamond"/>
          <w:sz w:val="24"/>
          <w:szCs w:val="24"/>
        </w:rPr>
        <w:t>, harm risk management and price discovery.</w:t>
      </w:r>
      <w:r w:rsidR="005009BC">
        <w:rPr>
          <w:rStyle w:val="FootnoteReference"/>
          <w:rFonts w:ascii="Garamond" w:hAnsi="Garamond"/>
          <w:sz w:val="24"/>
          <w:szCs w:val="24"/>
        </w:rPr>
        <w:footnoteReference w:id="19"/>
      </w:r>
      <w:r w:rsidR="003F609E" w:rsidRPr="002009E7">
        <w:rPr>
          <w:rFonts w:ascii="Garamond" w:hAnsi="Garamond"/>
          <w:sz w:val="24"/>
          <w:szCs w:val="24"/>
        </w:rPr>
        <w:t xml:space="preserve">  </w:t>
      </w:r>
      <w:r w:rsidR="003F609E">
        <w:rPr>
          <w:rFonts w:ascii="Garamond" w:hAnsi="Garamond"/>
          <w:sz w:val="24"/>
          <w:szCs w:val="24"/>
        </w:rPr>
        <w:t>The Supplemental Proposal</w:t>
      </w:r>
      <w:r w:rsidR="003F609E" w:rsidRPr="002009E7">
        <w:rPr>
          <w:rFonts w:ascii="Garamond" w:hAnsi="Garamond"/>
          <w:sz w:val="24"/>
          <w:szCs w:val="24"/>
        </w:rPr>
        <w:t xml:space="preserve"> will remove </w:t>
      </w:r>
      <w:r w:rsidR="003F609E">
        <w:rPr>
          <w:rFonts w:ascii="Garamond" w:hAnsi="Garamond"/>
          <w:sz w:val="24"/>
          <w:szCs w:val="24"/>
        </w:rPr>
        <w:t xml:space="preserve">the </w:t>
      </w:r>
      <w:r w:rsidR="003F609E">
        <w:rPr>
          <w:rFonts w:ascii="Garamond" w:hAnsi="Garamond"/>
          <w:sz w:val="24"/>
          <w:szCs w:val="24"/>
        </w:rPr>
        <w:lastRenderedPageBreak/>
        <w:t xml:space="preserve">ability and the capacity of </w:t>
      </w:r>
      <w:r w:rsidR="003F609E" w:rsidRPr="002009E7">
        <w:rPr>
          <w:rFonts w:ascii="Garamond" w:hAnsi="Garamond"/>
          <w:sz w:val="24"/>
          <w:szCs w:val="24"/>
        </w:rPr>
        <w:t xml:space="preserve">commercial market participants to make and take delivery during the time </w:t>
      </w:r>
      <w:r w:rsidR="003F609E">
        <w:rPr>
          <w:rFonts w:ascii="Garamond" w:hAnsi="Garamond"/>
          <w:sz w:val="24"/>
          <w:szCs w:val="24"/>
        </w:rPr>
        <w:t>when</w:t>
      </w:r>
      <w:r w:rsidR="003F609E" w:rsidRPr="002009E7">
        <w:rPr>
          <w:rFonts w:ascii="Garamond" w:hAnsi="Garamond"/>
          <w:sz w:val="24"/>
          <w:szCs w:val="24"/>
        </w:rPr>
        <w:t xml:space="preserve"> all </w:t>
      </w:r>
      <w:r w:rsidR="003F609E">
        <w:rPr>
          <w:rFonts w:ascii="Garamond" w:hAnsi="Garamond"/>
          <w:sz w:val="24"/>
          <w:szCs w:val="24"/>
        </w:rPr>
        <w:t xml:space="preserve">market </w:t>
      </w:r>
      <w:r w:rsidR="003F609E" w:rsidRPr="002009E7">
        <w:rPr>
          <w:rFonts w:ascii="Garamond" w:hAnsi="Garamond"/>
          <w:sz w:val="24"/>
          <w:szCs w:val="24"/>
        </w:rPr>
        <w:t xml:space="preserve">participants agree </w:t>
      </w:r>
      <w:r w:rsidR="003F609E">
        <w:rPr>
          <w:rFonts w:ascii="Garamond" w:hAnsi="Garamond"/>
          <w:sz w:val="24"/>
          <w:szCs w:val="24"/>
        </w:rPr>
        <w:t>that</w:t>
      </w:r>
      <w:r w:rsidR="003F609E" w:rsidRPr="002009E7">
        <w:rPr>
          <w:rFonts w:ascii="Garamond" w:hAnsi="Garamond"/>
          <w:sz w:val="24"/>
          <w:szCs w:val="24"/>
        </w:rPr>
        <w:t xml:space="preserve"> convergence between futures</w:t>
      </w:r>
      <w:r w:rsidR="00FB4E92">
        <w:rPr>
          <w:rFonts w:ascii="Garamond" w:hAnsi="Garamond"/>
          <w:sz w:val="24"/>
          <w:szCs w:val="24"/>
        </w:rPr>
        <w:t xml:space="preserve"> and cash</w:t>
      </w:r>
      <w:r w:rsidR="003F609E" w:rsidRPr="002009E7">
        <w:rPr>
          <w:rFonts w:ascii="Garamond" w:hAnsi="Garamond"/>
          <w:sz w:val="24"/>
          <w:szCs w:val="24"/>
        </w:rPr>
        <w:t xml:space="preserve"> occurs.</w:t>
      </w:r>
      <w:r w:rsidR="003F609E">
        <w:rPr>
          <w:rFonts w:ascii="Garamond" w:hAnsi="Garamond"/>
          <w:sz w:val="24"/>
          <w:szCs w:val="24"/>
        </w:rPr>
        <w:t xml:space="preserve"> </w:t>
      </w:r>
    </w:p>
    <w:p w14:paraId="1F45E936" w14:textId="77777777" w:rsidR="003F609E" w:rsidRDefault="003F609E" w:rsidP="00C403A5">
      <w:pPr>
        <w:jc w:val="both"/>
        <w:rPr>
          <w:rFonts w:ascii="Garamond" w:hAnsi="Garamond"/>
          <w:sz w:val="24"/>
          <w:szCs w:val="24"/>
        </w:rPr>
      </w:pPr>
    </w:p>
    <w:p w14:paraId="2677A995" w14:textId="1779AC31" w:rsidR="007C459F" w:rsidRDefault="007C459F" w:rsidP="00F00292">
      <w:pPr>
        <w:ind w:firstLine="720"/>
        <w:jc w:val="both"/>
        <w:rPr>
          <w:rFonts w:ascii="Garamond" w:hAnsi="Garamond"/>
          <w:sz w:val="24"/>
          <w:szCs w:val="24"/>
        </w:rPr>
      </w:pPr>
      <w:r w:rsidRPr="007A63FB">
        <w:rPr>
          <w:rFonts w:ascii="Garamond" w:hAnsi="Garamond"/>
          <w:sz w:val="24"/>
          <w:szCs w:val="24"/>
        </w:rPr>
        <w:t>It is a well-known and well-accepted fact that convergence between futures and the cash market price occurs in many markets during the last days of trading.  Convergence and the predictability of convergence are critical to ensuring that the market performs its critical function of price discovery and risk management.  If the market fails its convergence task, it fails its price discovery and risk management function.  A 2011 USDA-ERS study reviewed the importance of convergence following a period of non-convergence during 2005 to 2010.</w:t>
      </w:r>
      <w:r w:rsidR="00241EF5">
        <w:rPr>
          <w:rFonts w:ascii="Garamond" w:hAnsi="Garamond"/>
          <w:sz w:val="24"/>
          <w:szCs w:val="24"/>
        </w:rPr>
        <w:t xml:space="preserve"> </w:t>
      </w:r>
      <w:r w:rsidRPr="007A63FB">
        <w:rPr>
          <w:rFonts w:ascii="Garamond" w:hAnsi="Garamond"/>
          <w:sz w:val="24"/>
          <w:szCs w:val="24"/>
        </w:rPr>
        <w:t xml:space="preserve"> The study </w:t>
      </w:r>
      <w:proofErr w:type="gramStart"/>
      <w:r w:rsidR="00241EF5">
        <w:rPr>
          <w:rFonts w:ascii="Garamond" w:hAnsi="Garamond"/>
          <w:sz w:val="24"/>
          <w:szCs w:val="24"/>
        </w:rPr>
        <w:t xml:space="preserve">states </w:t>
      </w:r>
      <w:r w:rsidRPr="007A63FB">
        <w:rPr>
          <w:rFonts w:ascii="Garamond" w:hAnsi="Garamond"/>
          <w:sz w:val="24"/>
          <w:szCs w:val="24"/>
        </w:rPr>
        <w:t>that</w:t>
      </w:r>
      <w:proofErr w:type="gramEnd"/>
      <w:r w:rsidRPr="007A63FB">
        <w:rPr>
          <w:rFonts w:ascii="Garamond" w:hAnsi="Garamond"/>
          <w:sz w:val="24"/>
          <w:szCs w:val="24"/>
        </w:rPr>
        <w:t xml:space="preserve"> “unpredictable convergence undermines confidence in the market’s ability to perform” its important economic functions and “can lead to significant economic damage.”</w:t>
      </w:r>
      <w:r w:rsidR="000A190A">
        <w:rPr>
          <w:rStyle w:val="FootnoteReference"/>
          <w:rFonts w:ascii="Garamond" w:hAnsi="Garamond"/>
          <w:sz w:val="24"/>
          <w:szCs w:val="24"/>
        </w:rPr>
        <w:footnoteReference w:id="20"/>
      </w:r>
      <w:r w:rsidRPr="007A63FB">
        <w:rPr>
          <w:rFonts w:ascii="Garamond" w:hAnsi="Garamond"/>
          <w:sz w:val="24"/>
          <w:szCs w:val="24"/>
        </w:rPr>
        <w:t xml:space="preserve">  The study further states that “</w:t>
      </w:r>
      <w:proofErr w:type="spellStart"/>
      <w:r w:rsidRPr="007A63FB">
        <w:rPr>
          <w:rFonts w:ascii="Garamond" w:hAnsi="Garamond"/>
          <w:sz w:val="24"/>
          <w:szCs w:val="24"/>
        </w:rPr>
        <w:t>unhedged</w:t>
      </w:r>
      <w:proofErr w:type="spellEnd"/>
      <w:r w:rsidRPr="007A63FB">
        <w:rPr>
          <w:rFonts w:ascii="Garamond" w:hAnsi="Garamond"/>
          <w:sz w:val="24"/>
          <w:szCs w:val="24"/>
        </w:rPr>
        <w:t xml:space="preserve"> merchandisers and producers face substantial price risks and welfare losses that jeopardize the conventional operation of the food production, </w:t>
      </w:r>
      <w:r w:rsidR="00241EF5">
        <w:rPr>
          <w:rFonts w:ascii="Garamond" w:hAnsi="Garamond"/>
          <w:sz w:val="24"/>
          <w:szCs w:val="24"/>
        </w:rPr>
        <w:t>marketing and consumption chain,</w:t>
      </w:r>
      <w:r w:rsidRPr="007A63FB">
        <w:rPr>
          <w:rFonts w:ascii="Garamond" w:hAnsi="Garamond"/>
          <w:sz w:val="24"/>
          <w:szCs w:val="24"/>
        </w:rPr>
        <w:t>”</w:t>
      </w:r>
      <w:r w:rsidR="00241EF5">
        <w:rPr>
          <w:rFonts w:ascii="Garamond" w:hAnsi="Garamond"/>
          <w:sz w:val="24"/>
          <w:szCs w:val="24"/>
        </w:rPr>
        <w:t xml:space="preserve"> and</w:t>
      </w:r>
      <w:r w:rsidRPr="007A63FB">
        <w:rPr>
          <w:rFonts w:ascii="Garamond" w:hAnsi="Garamond"/>
          <w:sz w:val="24"/>
          <w:szCs w:val="24"/>
        </w:rPr>
        <w:t xml:space="preserve"> </w:t>
      </w:r>
      <w:r w:rsidR="00241EF5">
        <w:rPr>
          <w:rFonts w:ascii="Garamond" w:hAnsi="Garamond"/>
          <w:sz w:val="24"/>
          <w:szCs w:val="24"/>
        </w:rPr>
        <w:t xml:space="preserve">that </w:t>
      </w:r>
      <w:r w:rsidRPr="007A63FB">
        <w:rPr>
          <w:rFonts w:ascii="Garamond" w:hAnsi="Garamond"/>
          <w:sz w:val="24"/>
          <w:szCs w:val="24"/>
        </w:rPr>
        <w:t>“[</w:t>
      </w:r>
      <w:proofErr w:type="gramStart"/>
      <w:r w:rsidRPr="007A63FB">
        <w:rPr>
          <w:rFonts w:ascii="Garamond" w:hAnsi="Garamond"/>
          <w:sz w:val="24"/>
          <w:szCs w:val="24"/>
        </w:rPr>
        <w:t>w]hen</w:t>
      </w:r>
      <w:proofErr w:type="gramEnd"/>
      <w:r w:rsidRPr="007A63FB">
        <w:rPr>
          <w:rFonts w:ascii="Garamond" w:hAnsi="Garamond"/>
          <w:sz w:val="24"/>
          <w:szCs w:val="24"/>
        </w:rPr>
        <w:t xml:space="preserve"> non-convergence is erratic, the timing of the placing and lifting of hedge will impact hedges’ profitability, making hedging risky.”</w:t>
      </w:r>
      <w:r w:rsidR="000A190A">
        <w:rPr>
          <w:rStyle w:val="FootnoteReference"/>
          <w:rFonts w:ascii="Garamond" w:hAnsi="Garamond"/>
          <w:sz w:val="24"/>
          <w:szCs w:val="24"/>
        </w:rPr>
        <w:footnoteReference w:id="21"/>
      </w:r>
    </w:p>
    <w:p w14:paraId="7BFCFB15" w14:textId="77777777" w:rsidR="007C459F" w:rsidRDefault="007C459F" w:rsidP="00C403A5">
      <w:pPr>
        <w:jc w:val="both"/>
        <w:rPr>
          <w:rFonts w:ascii="Garamond" w:hAnsi="Garamond"/>
          <w:sz w:val="24"/>
          <w:szCs w:val="24"/>
        </w:rPr>
      </w:pPr>
    </w:p>
    <w:p w14:paraId="4F8C6DE0" w14:textId="0110F015" w:rsidR="007C459F" w:rsidRDefault="00D25C0D" w:rsidP="00F00292">
      <w:pPr>
        <w:ind w:firstLine="720"/>
        <w:jc w:val="both"/>
        <w:rPr>
          <w:rFonts w:ascii="Garamond" w:hAnsi="Garamond"/>
          <w:sz w:val="24"/>
          <w:szCs w:val="24"/>
        </w:rPr>
      </w:pPr>
      <w:r w:rsidRPr="00CD2F7B">
        <w:rPr>
          <w:rFonts w:ascii="Garamond" w:hAnsi="Garamond"/>
          <w:sz w:val="24"/>
          <w:szCs w:val="24"/>
        </w:rPr>
        <w:t>Each market has its own unique set of fundamentals, market dynamics</w:t>
      </w:r>
      <w:r>
        <w:rPr>
          <w:rFonts w:ascii="Garamond" w:hAnsi="Garamond"/>
          <w:sz w:val="24"/>
          <w:szCs w:val="24"/>
        </w:rPr>
        <w:t>,</w:t>
      </w:r>
      <w:r w:rsidRPr="00CD2F7B">
        <w:rPr>
          <w:rFonts w:ascii="Garamond" w:hAnsi="Garamond"/>
          <w:sz w:val="24"/>
          <w:szCs w:val="24"/>
        </w:rPr>
        <w:t xml:space="preserve"> and market participants within the delivery period. </w:t>
      </w:r>
      <w:r>
        <w:rPr>
          <w:rFonts w:ascii="Garamond" w:hAnsi="Garamond"/>
          <w:sz w:val="24"/>
          <w:szCs w:val="24"/>
        </w:rPr>
        <w:t xml:space="preserve"> To the extent that the Commission is concerned about trading disruptions or congestion during the last five days of trading, it already possesses the regulatory tools to ensure that the market and market participants are engaging in appropriate market behavior.  </w:t>
      </w:r>
      <w:r w:rsidRPr="00CD2F7B">
        <w:rPr>
          <w:rFonts w:ascii="Garamond" w:hAnsi="Garamond"/>
          <w:sz w:val="24"/>
          <w:szCs w:val="24"/>
        </w:rPr>
        <w:t xml:space="preserve">It would be overly simplistic to assume that a regulatory change of this magnitude could result in an improved market environment across all contracts regulated by the Commission. </w:t>
      </w:r>
      <w:r>
        <w:rPr>
          <w:rFonts w:ascii="Garamond" w:hAnsi="Garamond"/>
          <w:sz w:val="24"/>
          <w:szCs w:val="24"/>
        </w:rPr>
        <w:t xml:space="preserve"> </w:t>
      </w:r>
      <w:r w:rsidRPr="00CD2F7B">
        <w:rPr>
          <w:rFonts w:ascii="Garamond" w:hAnsi="Garamond"/>
          <w:sz w:val="24"/>
          <w:szCs w:val="24"/>
        </w:rPr>
        <w:t>CMC is unaware of any analysis that would suggest this change could improve the trading environment for any single derivatives contract</w:t>
      </w:r>
      <w:r>
        <w:rPr>
          <w:rFonts w:ascii="Garamond" w:hAnsi="Garamond"/>
          <w:sz w:val="24"/>
          <w:szCs w:val="24"/>
        </w:rPr>
        <w:t>,</w:t>
      </w:r>
      <w:r w:rsidRPr="00CD2F7B">
        <w:rPr>
          <w:rFonts w:ascii="Garamond" w:hAnsi="Garamond"/>
          <w:sz w:val="24"/>
          <w:szCs w:val="24"/>
        </w:rPr>
        <w:t xml:space="preserve"> let alone all of them.</w:t>
      </w:r>
      <w:r w:rsidRPr="00C403A5">
        <w:rPr>
          <w:rFonts w:ascii="Garamond" w:hAnsi="Garamond"/>
          <w:sz w:val="24"/>
          <w:szCs w:val="24"/>
        </w:rPr>
        <w:t xml:space="preserve"> </w:t>
      </w:r>
    </w:p>
    <w:p w14:paraId="7CB4BF6D" w14:textId="77777777" w:rsidR="00D25C0D" w:rsidRDefault="00D25C0D" w:rsidP="00780407">
      <w:pPr>
        <w:jc w:val="both"/>
        <w:rPr>
          <w:rFonts w:ascii="Garamond" w:hAnsi="Garamond"/>
          <w:sz w:val="24"/>
          <w:szCs w:val="24"/>
        </w:rPr>
      </w:pPr>
    </w:p>
    <w:p w14:paraId="52858D29" w14:textId="10474D57" w:rsidR="002239F1" w:rsidRPr="000869E2" w:rsidRDefault="00C403A5" w:rsidP="00F00292">
      <w:pPr>
        <w:ind w:firstLine="720"/>
        <w:jc w:val="both"/>
        <w:rPr>
          <w:rFonts w:ascii="Garamond" w:hAnsi="Garamond"/>
          <w:sz w:val="24"/>
          <w:szCs w:val="24"/>
        </w:rPr>
      </w:pPr>
      <w:r>
        <w:rPr>
          <w:rFonts w:ascii="Garamond" w:hAnsi="Garamond"/>
          <w:sz w:val="24"/>
          <w:szCs w:val="24"/>
        </w:rPr>
        <w:t xml:space="preserve">The Commission’s </w:t>
      </w:r>
      <w:r w:rsidR="003F609E">
        <w:rPr>
          <w:rFonts w:ascii="Garamond" w:hAnsi="Garamond"/>
          <w:sz w:val="24"/>
          <w:szCs w:val="24"/>
        </w:rPr>
        <w:t xml:space="preserve">goals of ensuring smooth and orderly markets that are free of congestion and manipulation are </w:t>
      </w:r>
      <w:r w:rsidRPr="002009E7">
        <w:rPr>
          <w:rFonts w:ascii="Garamond" w:hAnsi="Garamond"/>
          <w:sz w:val="24"/>
          <w:szCs w:val="24"/>
        </w:rPr>
        <w:t xml:space="preserve">best addressed through </w:t>
      </w:r>
      <w:r w:rsidR="001C1E3F">
        <w:rPr>
          <w:rFonts w:ascii="Garamond" w:hAnsi="Garamond"/>
          <w:sz w:val="24"/>
          <w:szCs w:val="24"/>
        </w:rPr>
        <w:t xml:space="preserve">exchange </w:t>
      </w:r>
      <w:r w:rsidR="00301381">
        <w:rPr>
          <w:rFonts w:ascii="Garamond" w:hAnsi="Garamond"/>
          <w:sz w:val="24"/>
          <w:szCs w:val="24"/>
        </w:rPr>
        <w:t xml:space="preserve">real-time and T+1 </w:t>
      </w:r>
      <w:r w:rsidRPr="002009E7">
        <w:rPr>
          <w:rFonts w:ascii="Garamond" w:hAnsi="Garamond"/>
          <w:sz w:val="24"/>
          <w:szCs w:val="24"/>
        </w:rPr>
        <w:t xml:space="preserve">market surveillance, </w:t>
      </w:r>
      <w:r w:rsidR="00A5767F">
        <w:rPr>
          <w:rFonts w:ascii="Garamond" w:hAnsi="Garamond"/>
          <w:sz w:val="24"/>
          <w:szCs w:val="24"/>
        </w:rPr>
        <w:t>exchange</w:t>
      </w:r>
      <w:r w:rsidR="00301381">
        <w:rPr>
          <w:rFonts w:ascii="Garamond" w:hAnsi="Garamond"/>
          <w:sz w:val="24"/>
          <w:szCs w:val="24"/>
        </w:rPr>
        <w:t xml:space="preserve"> </w:t>
      </w:r>
      <w:r w:rsidRPr="002009E7">
        <w:rPr>
          <w:rFonts w:ascii="Garamond" w:hAnsi="Garamond"/>
          <w:sz w:val="24"/>
          <w:szCs w:val="24"/>
        </w:rPr>
        <w:t>market oversight</w:t>
      </w:r>
      <w:r>
        <w:rPr>
          <w:rFonts w:ascii="Garamond" w:hAnsi="Garamond"/>
          <w:sz w:val="24"/>
          <w:szCs w:val="24"/>
        </w:rPr>
        <w:t>,</w:t>
      </w:r>
      <w:r w:rsidRPr="002009E7">
        <w:rPr>
          <w:rFonts w:ascii="Garamond" w:hAnsi="Garamond"/>
          <w:sz w:val="24"/>
          <w:szCs w:val="24"/>
        </w:rPr>
        <w:t xml:space="preserve"> and a coordinated response with </w:t>
      </w:r>
      <w:r>
        <w:rPr>
          <w:rFonts w:ascii="Garamond" w:hAnsi="Garamond"/>
          <w:sz w:val="24"/>
          <w:szCs w:val="24"/>
        </w:rPr>
        <w:t xml:space="preserve">the </w:t>
      </w:r>
      <w:r w:rsidRPr="002009E7">
        <w:rPr>
          <w:rFonts w:ascii="Garamond" w:hAnsi="Garamond"/>
          <w:sz w:val="24"/>
          <w:szCs w:val="24"/>
        </w:rPr>
        <w:t xml:space="preserve">exchanges to ensure that market </w:t>
      </w:r>
      <w:r w:rsidRPr="002009E7">
        <w:rPr>
          <w:rFonts w:ascii="Garamond" w:hAnsi="Garamond"/>
          <w:sz w:val="24"/>
          <w:szCs w:val="24"/>
        </w:rPr>
        <w:lastRenderedPageBreak/>
        <w:t xml:space="preserve">participants </w:t>
      </w:r>
      <w:r>
        <w:rPr>
          <w:rFonts w:ascii="Garamond" w:hAnsi="Garamond"/>
          <w:sz w:val="24"/>
          <w:szCs w:val="24"/>
        </w:rPr>
        <w:t>who remain</w:t>
      </w:r>
      <w:r w:rsidRPr="002009E7">
        <w:rPr>
          <w:rFonts w:ascii="Garamond" w:hAnsi="Garamond"/>
          <w:sz w:val="24"/>
          <w:szCs w:val="24"/>
        </w:rPr>
        <w:t xml:space="preserve"> in the market during </w:t>
      </w:r>
      <w:r>
        <w:rPr>
          <w:rFonts w:ascii="Garamond" w:hAnsi="Garamond"/>
          <w:sz w:val="24"/>
          <w:szCs w:val="24"/>
        </w:rPr>
        <w:t>this period of time</w:t>
      </w:r>
      <w:r w:rsidRPr="002009E7">
        <w:rPr>
          <w:rFonts w:ascii="Garamond" w:hAnsi="Garamond"/>
          <w:sz w:val="24"/>
          <w:szCs w:val="24"/>
        </w:rPr>
        <w:t xml:space="preserve"> are doing so for economic and </w:t>
      </w:r>
      <w:r w:rsidRPr="003F4C3A">
        <w:rPr>
          <w:rFonts w:ascii="Garamond" w:hAnsi="Garamond"/>
          <w:i/>
          <w:sz w:val="24"/>
          <w:szCs w:val="24"/>
        </w:rPr>
        <w:t>bona fide</w:t>
      </w:r>
      <w:r w:rsidRPr="002009E7">
        <w:rPr>
          <w:rFonts w:ascii="Garamond" w:hAnsi="Garamond"/>
          <w:sz w:val="24"/>
          <w:szCs w:val="24"/>
        </w:rPr>
        <w:t xml:space="preserve"> purposes.</w:t>
      </w:r>
      <w:r w:rsidR="003F609E">
        <w:rPr>
          <w:rFonts w:ascii="Garamond" w:hAnsi="Garamond"/>
          <w:sz w:val="24"/>
          <w:szCs w:val="24"/>
        </w:rPr>
        <w:t xml:space="preserve">  </w:t>
      </w:r>
      <w:r w:rsidR="002239F1" w:rsidRPr="00FF3311">
        <w:rPr>
          <w:rFonts w:ascii="Garamond" w:hAnsi="Garamond"/>
          <w:sz w:val="24"/>
          <w:szCs w:val="24"/>
        </w:rPr>
        <w:t xml:space="preserve">Instead of a hard prohibition, the preferable path forward </w:t>
      </w:r>
      <w:r w:rsidR="007221F4">
        <w:rPr>
          <w:rFonts w:ascii="Garamond" w:hAnsi="Garamond"/>
          <w:sz w:val="24"/>
          <w:szCs w:val="24"/>
        </w:rPr>
        <w:t>w</w:t>
      </w:r>
      <w:r w:rsidR="002239F1" w:rsidRPr="00FF3311">
        <w:rPr>
          <w:rFonts w:ascii="Garamond" w:hAnsi="Garamond"/>
          <w:sz w:val="24"/>
          <w:szCs w:val="24"/>
        </w:rPr>
        <w:t>ould continue to allow exchanges the discretion to provide exemptions based on facts and circumstances at the particular time for a particular market participant.</w:t>
      </w:r>
      <w:r w:rsidR="00202933">
        <w:rPr>
          <w:rFonts w:ascii="Garamond" w:hAnsi="Garamond"/>
          <w:sz w:val="24"/>
          <w:szCs w:val="24"/>
        </w:rPr>
        <w:t xml:space="preserve">  </w:t>
      </w:r>
      <w:r w:rsidR="00D25C0D">
        <w:rPr>
          <w:rFonts w:ascii="Garamond" w:hAnsi="Garamond"/>
          <w:sz w:val="24"/>
          <w:szCs w:val="24"/>
        </w:rPr>
        <w:t xml:space="preserve">In fact, we simply ask that the Commission preserve existing practices in allowing market participants to apply for a NEBFH exemption during the last five days of trading if an enumerated hedge is subject to the last </w:t>
      </w:r>
      <w:proofErr w:type="gramStart"/>
      <w:r w:rsidR="00D25C0D">
        <w:rPr>
          <w:rFonts w:ascii="Garamond" w:hAnsi="Garamond"/>
          <w:sz w:val="24"/>
          <w:szCs w:val="24"/>
        </w:rPr>
        <w:t>five day</w:t>
      </w:r>
      <w:proofErr w:type="gramEnd"/>
      <w:r w:rsidR="00D25C0D">
        <w:rPr>
          <w:rFonts w:ascii="Garamond" w:hAnsi="Garamond"/>
          <w:sz w:val="24"/>
          <w:szCs w:val="24"/>
        </w:rPr>
        <w:t xml:space="preserve"> restriction.</w:t>
      </w:r>
      <w:r w:rsidR="00D25C0D" w:rsidDel="00C403A5">
        <w:rPr>
          <w:rFonts w:ascii="Garamond" w:hAnsi="Garamond"/>
          <w:sz w:val="24"/>
          <w:szCs w:val="24"/>
        </w:rPr>
        <w:t xml:space="preserve"> </w:t>
      </w:r>
      <w:r w:rsidR="00EC70C7">
        <w:rPr>
          <w:rFonts w:ascii="Garamond" w:hAnsi="Garamond"/>
          <w:sz w:val="24"/>
          <w:szCs w:val="24"/>
        </w:rPr>
        <w:t xml:space="preserve"> We believe that preserving existing practices </w:t>
      </w:r>
      <w:r w:rsidR="00E93E22">
        <w:rPr>
          <w:rFonts w:ascii="Garamond" w:hAnsi="Garamond"/>
          <w:sz w:val="24"/>
          <w:szCs w:val="24"/>
        </w:rPr>
        <w:t xml:space="preserve">will not increase regulatory risk and will ultimately benefit consumers. </w:t>
      </w:r>
    </w:p>
    <w:p w14:paraId="379EC249" w14:textId="77777777" w:rsidR="002009E7" w:rsidRPr="002A0AB8" w:rsidRDefault="002009E7" w:rsidP="00385EC7">
      <w:pPr>
        <w:jc w:val="both"/>
        <w:rPr>
          <w:rFonts w:ascii="Garamond" w:hAnsi="Garamond"/>
          <w:b/>
          <w:sz w:val="24"/>
          <w:szCs w:val="24"/>
        </w:rPr>
      </w:pPr>
    </w:p>
    <w:p w14:paraId="351ADDEB" w14:textId="754F5A17" w:rsidR="00170F82" w:rsidRPr="00DB4FC4" w:rsidRDefault="00170F82" w:rsidP="002A0AB8">
      <w:pPr>
        <w:pStyle w:val="ListParagraph"/>
        <w:numPr>
          <w:ilvl w:val="0"/>
          <w:numId w:val="29"/>
        </w:numPr>
        <w:ind w:left="1440"/>
        <w:jc w:val="both"/>
        <w:rPr>
          <w:rFonts w:ascii="Garamond" w:hAnsi="Garamond"/>
          <w:b/>
        </w:rPr>
      </w:pPr>
      <w:r w:rsidRPr="00DB4FC4">
        <w:rPr>
          <w:rFonts w:ascii="Garamond" w:hAnsi="Garamond"/>
          <w:b/>
        </w:rPr>
        <w:t>Commercially Reasonable Amount of Time</w:t>
      </w:r>
    </w:p>
    <w:p w14:paraId="62C04933" w14:textId="77777777" w:rsidR="00170F82" w:rsidRPr="00170F82" w:rsidRDefault="00170F82" w:rsidP="00170F82">
      <w:pPr>
        <w:ind w:left="360"/>
        <w:jc w:val="both"/>
        <w:rPr>
          <w:rFonts w:ascii="Garamond" w:hAnsi="Garamond"/>
          <w:b/>
        </w:rPr>
      </w:pPr>
    </w:p>
    <w:p w14:paraId="676DA0A1" w14:textId="1A6EC140" w:rsidR="00AC5A74" w:rsidRDefault="00424BDB" w:rsidP="00F94951">
      <w:pPr>
        <w:ind w:firstLine="720"/>
        <w:jc w:val="both"/>
        <w:rPr>
          <w:rFonts w:ascii="Garamond" w:hAnsi="Garamond"/>
          <w:sz w:val="24"/>
          <w:szCs w:val="24"/>
        </w:rPr>
      </w:pPr>
      <w:r w:rsidRPr="002009E7">
        <w:rPr>
          <w:rFonts w:ascii="Garamond" w:hAnsi="Garamond"/>
          <w:sz w:val="24"/>
          <w:szCs w:val="24"/>
        </w:rPr>
        <w:t>The Supplemental Proposal provide</w:t>
      </w:r>
      <w:r w:rsidR="002C4E0F" w:rsidRPr="002009E7">
        <w:rPr>
          <w:rFonts w:ascii="Garamond" w:hAnsi="Garamond"/>
          <w:sz w:val="24"/>
          <w:szCs w:val="24"/>
        </w:rPr>
        <w:t xml:space="preserve">s market participants with a </w:t>
      </w:r>
      <w:r w:rsidR="00DB4CE1">
        <w:rPr>
          <w:rFonts w:ascii="Garamond" w:hAnsi="Garamond"/>
          <w:sz w:val="24"/>
          <w:szCs w:val="24"/>
        </w:rPr>
        <w:t>“</w:t>
      </w:r>
      <w:r w:rsidRPr="000869E2">
        <w:rPr>
          <w:rFonts w:ascii="Garamond" w:hAnsi="Garamond"/>
          <w:sz w:val="24"/>
          <w:szCs w:val="24"/>
        </w:rPr>
        <w:t>commerc</w:t>
      </w:r>
      <w:r w:rsidR="002C4E0F" w:rsidRPr="000869E2">
        <w:rPr>
          <w:rFonts w:ascii="Garamond" w:hAnsi="Garamond"/>
          <w:sz w:val="24"/>
          <w:szCs w:val="24"/>
        </w:rPr>
        <w:t>ially reasonable amount of time</w:t>
      </w:r>
      <w:r w:rsidR="00DB4CE1">
        <w:rPr>
          <w:rFonts w:ascii="Garamond" w:hAnsi="Garamond"/>
          <w:sz w:val="24"/>
          <w:szCs w:val="24"/>
        </w:rPr>
        <w:t>”</w:t>
      </w:r>
      <w:r w:rsidRPr="002009E7">
        <w:rPr>
          <w:rFonts w:ascii="Garamond" w:hAnsi="Garamond"/>
          <w:sz w:val="24"/>
          <w:szCs w:val="24"/>
        </w:rPr>
        <w:t xml:space="preserve"> to</w:t>
      </w:r>
      <w:r>
        <w:rPr>
          <w:rFonts w:ascii="Garamond" w:hAnsi="Garamond"/>
          <w:sz w:val="24"/>
          <w:szCs w:val="24"/>
        </w:rPr>
        <w:t xml:space="preserve"> reduce their positions to comply with position limits for an exchange</w:t>
      </w:r>
      <w:r w:rsidR="00DB4CE1">
        <w:rPr>
          <w:rFonts w:ascii="Garamond" w:hAnsi="Garamond"/>
          <w:sz w:val="24"/>
          <w:szCs w:val="24"/>
        </w:rPr>
        <w:t xml:space="preserve"> </w:t>
      </w:r>
      <w:r>
        <w:rPr>
          <w:rFonts w:ascii="Garamond" w:hAnsi="Garamond"/>
          <w:sz w:val="24"/>
          <w:szCs w:val="24"/>
        </w:rPr>
        <w:t>granted hedge exemption that no longer qualifies upon Commission review.</w:t>
      </w:r>
      <w:r>
        <w:rPr>
          <w:rStyle w:val="FootnoteReference"/>
          <w:rFonts w:ascii="Garamond" w:hAnsi="Garamond"/>
          <w:sz w:val="24"/>
          <w:szCs w:val="24"/>
        </w:rPr>
        <w:footnoteReference w:id="22"/>
      </w:r>
      <w:r>
        <w:rPr>
          <w:rFonts w:ascii="Garamond" w:hAnsi="Garamond"/>
          <w:sz w:val="24"/>
          <w:szCs w:val="24"/>
        </w:rPr>
        <w:t xml:space="preserve">  </w:t>
      </w:r>
      <w:r w:rsidR="007279C4">
        <w:rPr>
          <w:rFonts w:ascii="Garamond" w:hAnsi="Garamond"/>
          <w:sz w:val="24"/>
          <w:szCs w:val="24"/>
        </w:rPr>
        <w:t>Footnote 168</w:t>
      </w:r>
      <w:r>
        <w:rPr>
          <w:rFonts w:ascii="Garamond" w:hAnsi="Garamond"/>
          <w:sz w:val="24"/>
          <w:szCs w:val="24"/>
        </w:rPr>
        <w:t xml:space="preserve"> in the preamble</w:t>
      </w:r>
      <w:r w:rsidR="007279C4">
        <w:rPr>
          <w:rFonts w:ascii="Garamond" w:hAnsi="Garamond"/>
          <w:sz w:val="24"/>
          <w:szCs w:val="24"/>
        </w:rPr>
        <w:t xml:space="preserve"> </w:t>
      </w:r>
      <w:r>
        <w:rPr>
          <w:rFonts w:ascii="Garamond" w:hAnsi="Garamond"/>
          <w:sz w:val="24"/>
          <w:szCs w:val="24"/>
        </w:rPr>
        <w:t xml:space="preserve">reads </w:t>
      </w:r>
      <w:r w:rsidR="007279C4">
        <w:rPr>
          <w:rFonts w:ascii="Garamond" w:hAnsi="Garamond"/>
          <w:sz w:val="24"/>
          <w:szCs w:val="24"/>
        </w:rPr>
        <w:t>that the Commission generally “believes such time period would be less than one business day.”</w:t>
      </w:r>
      <w:r w:rsidR="004F052D">
        <w:rPr>
          <w:rStyle w:val="FootnoteReference"/>
          <w:rFonts w:ascii="Garamond" w:hAnsi="Garamond"/>
          <w:sz w:val="24"/>
          <w:szCs w:val="24"/>
        </w:rPr>
        <w:footnoteReference w:id="23"/>
      </w:r>
      <w:r w:rsidR="007279C4">
        <w:rPr>
          <w:rFonts w:ascii="Garamond" w:hAnsi="Garamond"/>
          <w:sz w:val="24"/>
          <w:szCs w:val="24"/>
        </w:rPr>
        <w:t xml:space="preserve">  </w:t>
      </w:r>
      <w:r w:rsidR="00D46FDB">
        <w:rPr>
          <w:rFonts w:ascii="Garamond" w:hAnsi="Garamond"/>
          <w:sz w:val="24"/>
          <w:szCs w:val="24"/>
        </w:rPr>
        <w:t xml:space="preserve">If the Commission decides to </w:t>
      </w:r>
      <w:r w:rsidR="007221F4">
        <w:rPr>
          <w:rFonts w:ascii="Garamond" w:hAnsi="Garamond"/>
          <w:sz w:val="24"/>
          <w:szCs w:val="24"/>
        </w:rPr>
        <w:t>implement</w:t>
      </w:r>
      <w:r w:rsidR="007221F4">
        <w:rPr>
          <w:rFonts w:ascii="Garamond" w:hAnsi="Garamond"/>
          <w:sz w:val="24"/>
          <w:szCs w:val="24"/>
        </w:rPr>
        <w:t xml:space="preserve"> </w:t>
      </w:r>
      <w:r w:rsidR="00D46FDB">
        <w:rPr>
          <w:rFonts w:ascii="Garamond" w:hAnsi="Garamond"/>
          <w:sz w:val="24"/>
          <w:szCs w:val="24"/>
        </w:rPr>
        <w:t xml:space="preserve">a process to revoke a previously granted exchange exemption, </w:t>
      </w:r>
      <w:r w:rsidR="007279C4">
        <w:rPr>
          <w:rFonts w:ascii="Garamond" w:hAnsi="Garamond"/>
          <w:sz w:val="24"/>
          <w:szCs w:val="24"/>
        </w:rPr>
        <w:t xml:space="preserve">CMC asks the Commission to clarify that </w:t>
      </w:r>
      <w:r w:rsidR="002C4E0F">
        <w:rPr>
          <w:rFonts w:ascii="Garamond" w:hAnsi="Garamond"/>
          <w:sz w:val="24"/>
          <w:szCs w:val="24"/>
        </w:rPr>
        <w:t xml:space="preserve">a </w:t>
      </w:r>
      <w:r w:rsidR="00DB4CE1">
        <w:rPr>
          <w:rFonts w:ascii="Garamond" w:hAnsi="Garamond"/>
          <w:sz w:val="24"/>
          <w:szCs w:val="24"/>
        </w:rPr>
        <w:t>“</w:t>
      </w:r>
      <w:r w:rsidR="00F455F7" w:rsidRPr="000869E2">
        <w:rPr>
          <w:rFonts w:ascii="Garamond" w:hAnsi="Garamond"/>
          <w:sz w:val="24"/>
          <w:szCs w:val="24"/>
        </w:rPr>
        <w:t>commercially reasonable amount of time</w:t>
      </w:r>
      <w:r w:rsidR="00DB4CE1">
        <w:rPr>
          <w:rFonts w:ascii="Garamond" w:hAnsi="Garamond"/>
          <w:sz w:val="24"/>
          <w:szCs w:val="24"/>
        </w:rPr>
        <w:t>”</w:t>
      </w:r>
      <w:r w:rsidR="00F455F7">
        <w:rPr>
          <w:rFonts w:ascii="Garamond" w:hAnsi="Garamond"/>
          <w:sz w:val="24"/>
          <w:szCs w:val="24"/>
        </w:rPr>
        <w:t xml:space="preserve"> depend</w:t>
      </w:r>
      <w:r w:rsidR="00D46FDB">
        <w:rPr>
          <w:rFonts w:ascii="Garamond" w:hAnsi="Garamond"/>
          <w:sz w:val="24"/>
          <w:szCs w:val="24"/>
        </w:rPr>
        <w:t>s</w:t>
      </w:r>
      <w:r w:rsidR="00F455F7">
        <w:rPr>
          <w:rFonts w:ascii="Garamond" w:hAnsi="Garamond"/>
          <w:sz w:val="24"/>
          <w:szCs w:val="24"/>
        </w:rPr>
        <w:t xml:space="preserve"> on a number of relevant factors</w:t>
      </w:r>
      <w:r w:rsidR="00965085">
        <w:rPr>
          <w:rFonts w:ascii="Garamond" w:hAnsi="Garamond"/>
          <w:sz w:val="24"/>
          <w:szCs w:val="24"/>
        </w:rPr>
        <w:t xml:space="preserve"> such as the</w:t>
      </w:r>
      <w:r w:rsidR="00F455F7">
        <w:rPr>
          <w:rFonts w:ascii="Garamond" w:hAnsi="Garamond"/>
          <w:sz w:val="24"/>
          <w:szCs w:val="24"/>
        </w:rPr>
        <w:t xml:space="preserve"> size of the market participants position, risks created by the underlying exposure, and the availability of sufficient liquidity.  </w:t>
      </w:r>
      <w:r w:rsidR="00965085">
        <w:rPr>
          <w:rFonts w:ascii="Garamond" w:hAnsi="Garamond"/>
          <w:sz w:val="24"/>
          <w:szCs w:val="24"/>
        </w:rPr>
        <w:t>Further, the exchanges should retain</w:t>
      </w:r>
      <w:r w:rsidR="00F455F7">
        <w:rPr>
          <w:rFonts w:ascii="Garamond" w:hAnsi="Garamond"/>
          <w:sz w:val="24"/>
          <w:szCs w:val="24"/>
        </w:rPr>
        <w:t xml:space="preserve"> the discretio</w:t>
      </w:r>
      <w:r w:rsidR="006C0AAA">
        <w:rPr>
          <w:rFonts w:ascii="Garamond" w:hAnsi="Garamond"/>
          <w:sz w:val="24"/>
          <w:szCs w:val="24"/>
        </w:rPr>
        <w:t>n to determine, based on these factors</w:t>
      </w:r>
      <w:r w:rsidR="00F455F7">
        <w:rPr>
          <w:rFonts w:ascii="Garamond" w:hAnsi="Garamond"/>
          <w:sz w:val="24"/>
          <w:szCs w:val="24"/>
        </w:rPr>
        <w:t xml:space="preserve">, the </w:t>
      </w:r>
      <w:r w:rsidR="00DB4CE1">
        <w:rPr>
          <w:rFonts w:ascii="Garamond" w:hAnsi="Garamond"/>
          <w:sz w:val="24"/>
          <w:szCs w:val="24"/>
        </w:rPr>
        <w:t>“</w:t>
      </w:r>
      <w:r w:rsidR="00F455F7" w:rsidRPr="000869E2">
        <w:rPr>
          <w:rFonts w:ascii="Garamond" w:hAnsi="Garamond"/>
          <w:sz w:val="24"/>
          <w:szCs w:val="24"/>
        </w:rPr>
        <w:t>commercially reasonable amount of time</w:t>
      </w:r>
      <w:r w:rsidR="00DB4CE1">
        <w:rPr>
          <w:rFonts w:ascii="Garamond" w:hAnsi="Garamond"/>
          <w:sz w:val="24"/>
          <w:szCs w:val="24"/>
        </w:rPr>
        <w:t>”</w:t>
      </w:r>
      <w:r w:rsidR="00F455F7">
        <w:rPr>
          <w:rFonts w:ascii="Garamond" w:hAnsi="Garamond"/>
          <w:sz w:val="24"/>
          <w:szCs w:val="24"/>
        </w:rPr>
        <w:t xml:space="preserve"> to unwind and liquidate a position for </w:t>
      </w:r>
      <w:r w:rsidR="006610BD">
        <w:rPr>
          <w:rFonts w:ascii="Garamond" w:hAnsi="Garamond"/>
          <w:sz w:val="24"/>
          <w:szCs w:val="24"/>
        </w:rPr>
        <w:t>a</w:t>
      </w:r>
      <w:r w:rsidR="00F455F7">
        <w:rPr>
          <w:rFonts w:ascii="Garamond" w:hAnsi="Garamond"/>
          <w:sz w:val="24"/>
          <w:szCs w:val="24"/>
        </w:rPr>
        <w:t xml:space="preserve"> particular market participant.</w:t>
      </w:r>
      <w:r w:rsidR="004F09C5">
        <w:rPr>
          <w:rFonts w:ascii="Garamond" w:hAnsi="Garamond"/>
          <w:sz w:val="24"/>
          <w:szCs w:val="24"/>
        </w:rPr>
        <w:t xml:space="preserve">  This delegation</w:t>
      </w:r>
      <w:r w:rsidR="004F052D">
        <w:rPr>
          <w:rFonts w:ascii="Garamond" w:hAnsi="Garamond"/>
          <w:sz w:val="24"/>
          <w:szCs w:val="24"/>
        </w:rPr>
        <w:t xml:space="preserve"> of authority</w:t>
      </w:r>
      <w:r w:rsidR="004F09C5">
        <w:rPr>
          <w:rFonts w:ascii="Garamond" w:hAnsi="Garamond"/>
          <w:sz w:val="24"/>
          <w:szCs w:val="24"/>
        </w:rPr>
        <w:t xml:space="preserve"> would conserve the Commission’s resources and </w:t>
      </w:r>
      <w:r w:rsidR="005A1A9E">
        <w:rPr>
          <w:rFonts w:ascii="Garamond" w:hAnsi="Garamond"/>
          <w:sz w:val="24"/>
          <w:szCs w:val="24"/>
        </w:rPr>
        <w:t>better</w:t>
      </w:r>
      <w:r w:rsidR="004F09C5">
        <w:rPr>
          <w:rFonts w:ascii="Garamond" w:hAnsi="Garamond"/>
          <w:sz w:val="24"/>
          <w:szCs w:val="24"/>
        </w:rPr>
        <w:t xml:space="preserve"> utilize the expertise of the exchanges.  </w:t>
      </w:r>
    </w:p>
    <w:p w14:paraId="638D1F40" w14:textId="77777777" w:rsidR="005B14A3" w:rsidRPr="005B14A3" w:rsidRDefault="005B14A3" w:rsidP="005B14A3">
      <w:pPr>
        <w:rPr>
          <w:rFonts w:ascii="Garamond" w:hAnsi="Garamond"/>
          <w:sz w:val="24"/>
          <w:szCs w:val="24"/>
        </w:rPr>
      </w:pPr>
    </w:p>
    <w:p w14:paraId="15C8986E" w14:textId="4B8C61B4" w:rsidR="005B14A3" w:rsidRPr="00F04B94" w:rsidRDefault="00CA225A" w:rsidP="00F04B94">
      <w:pPr>
        <w:pStyle w:val="ListParagraph"/>
        <w:numPr>
          <w:ilvl w:val="0"/>
          <w:numId w:val="20"/>
        </w:numPr>
        <w:jc w:val="both"/>
        <w:rPr>
          <w:rFonts w:ascii="Garamond" w:hAnsi="Garamond"/>
          <w:b/>
        </w:rPr>
      </w:pPr>
      <w:r w:rsidRPr="00F04B94">
        <w:rPr>
          <w:rFonts w:ascii="Garamond" w:hAnsi="Garamond"/>
          <w:b/>
        </w:rPr>
        <w:t xml:space="preserve">Wheat Parity </w:t>
      </w:r>
    </w:p>
    <w:p w14:paraId="32AA1117" w14:textId="77777777" w:rsidR="00634303" w:rsidRDefault="00634303" w:rsidP="00634303">
      <w:pPr>
        <w:jc w:val="both"/>
        <w:rPr>
          <w:rFonts w:ascii="Garamond" w:hAnsi="Garamond"/>
        </w:rPr>
      </w:pPr>
    </w:p>
    <w:p w14:paraId="7AB259CF" w14:textId="79D3D31D" w:rsidR="00801681" w:rsidRDefault="00801681" w:rsidP="00F94951">
      <w:pPr>
        <w:ind w:firstLine="720"/>
        <w:jc w:val="both"/>
        <w:rPr>
          <w:rFonts w:ascii="Garamond" w:hAnsi="Garamond"/>
          <w:sz w:val="24"/>
          <w:szCs w:val="24"/>
        </w:rPr>
      </w:pPr>
      <w:r w:rsidRPr="008F4749">
        <w:rPr>
          <w:rFonts w:ascii="Garamond" w:hAnsi="Garamond"/>
          <w:sz w:val="24"/>
          <w:szCs w:val="24"/>
        </w:rPr>
        <w:t>CMC continues to ask the Commission</w:t>
      </w:r>
      <w:r>
        <w:rPr>
          <w:rFonts w:ascii="Garamond" w:hAnsi="Garamond"/>
          <w:sz w:val="24"/>
          <w:szCs w:val="24"/>
        </w:rPr>
        <w:t xml:space="preserve"> </w:t>
      </w:r>
      <w:r w:rsidRPr="008F4749">
        <w:rPr>
          <w:rFonts w:ascii="Garamond" w:hAnsi="Garamond"/>
          <w:sz w:val="24"/>
          <w:szCs w:val="24"/>
        </w:rPr>
        <w:t xml:space="preserve">to maintain equality between three U.S. Wheat markets, CBOT, KCBT, and MGEX.  Currently, they each have the same spot month limits of 600 contracts and the same single-month and all-months-combined limit of 12,000 contracts.  </w:t>
      </w:r>
      <w:r>
        <w:rPr>
          <w:rFonts w:ascii="Garamond" w:hAnsi="Garamond"/>
          <w:sz w:val="24"/>
          <w:szCs w:val="24"/>
        </w:rPr>
        <w:t>The spot months limits are to be updated based upon deliverable supply estimates</w:t>
      </w:r>
      <w:r w:rsidR="00D940D2">
        <w:rPr>
          <w:rFonts w:ascii="Garamond" w:hAnsi="Garamond"/>
          <w:sz w:val="24"/>
          <w:szCs w:val="24"/>
        </w:rPr>
        <w:t>,</w:t>
      </w:r>
      <w:r>
        <w:rPr>
          <w:rFonts w:ascii="Garamond" w:hAnsi="Garamond"/>
          <w:sz w:val="24"/>
          <w:szCs w:val="24"/>
        </w:rPr>
        <w:t xml:space="preserve"> </w:t>
      </w:r>
      <w:r w:rsidR="00D940D2">
        <w:rPr>
          <w:rFonts w:ascii="Garamond" w:hAnsi="Garamond"/>
          <w:sz w:val="24"/>
          <w:szCs w:val="24"/>
        </w:rPr>
        <w:t>h</w:t>
      </w:r>
      <w:r w:rsidRPr="008F4749">
        <w:rPr>
          <w:rFonts w:ascii="Garamond" w:hAnsi="Garamond"/>
          <w:sz w:val="24"/>
          <w:szCs w:val="24"/>
        </w:rPr>
        <w:t xml:space="preserve">owever, the proposed regulations </w:t>
      </w:r>
      <w:r>
        <w:rPr>
          <w:rFonts w:ascii="Garamond" w:hAnsi="Garamond"/>
          <w:sz w:val="24"/>
          <w:szCs w:val="24"/>
        </w:rPr>
        <w:t xml:space="preserve">to the non-spot month limits </w:t>
      </w:r>
      <w:r w:rsidRPr="008F4749">
        <w:rPr>
          <w:rFonts w:ascii="Garamond" w:hAnsi="Garamond"/>
          <w:sz w:val="24"/>
          <w:szCs w:val="24"/>
        </w:rPr>
        <w:t xml:space="preserve">would end the limit equality among these three markets.  Different limits for the same type (but not necessarily </w:t>
      </w:r>
      <w:r>
        <w:rPr>
          <w:rFonts w:ascii="Garamond" w:hAnsi="Garamond"/>
          <w:sz w:val="24"/>
          <w:szCs w:val="24"/>
        </w:rPr>
        <w:t xml:space="preserve">the same </w:t>
      </w:r>
      <w:r w:rsidRPr="008F4749">
        <w:rPr>
          <w:rFonts w:ascii="Garamond" w:hAnsi="Garamond"/>
          <w:sz w:val="24"/>
          <w:szCs w:val="24"/>
        </w:rPr>
        <w:t xml:space="preserve">variety) of commodity could dramatically impact the growth or potential for risk mitigating strategies between the contract markets.  In the case of wheat, this is particularly critical given the nature of the three differing varieties.  Having three varieties </w:t>
      </w:r>
      <w:r w:rsidR="00D940D2">
        <w:rPr>
          <w:rFonts w:ascii="Garamond" w:hAnsi="Garamond"/>
          <w:sz w:val="24"/>
          <w:szCs w:val="24"/>
        </w:rPr>
        <w:t xml:space="preserve">of wheat </w:t>
      </w:r>
      <w:r w:rsidRPr="008F4749">
        <w:rPr>
          <w:rFonts w:ascii="Garamond" w:hAnsi="Garamond"/>
          <w:sz w:val="24"/>
          <w:szCs w:val="24"/>
        </w:rPr>
        <w:t xml:space="preserve">not only </w:t>
      </w:r>
      <w:r w:rsidR="00D940D2">
        <w:rPr>
          <w:rFonts w:ascii="Garamond" w:hAnsi="Garamond"/>
          <w:sz w:val="24"/>
          <w:szCs w:val="24"/>
        </w:rPr>
        <w:t xml:space="preserve">provides </w:t>
      </w:r>
      <w:r w:rsidRPr="008F4749">
        <w:rPr>
          <w:rFonts w:ascii="Garamond" w:hAnsi="Garamond"/>
          <w:sz w:val="24"/>
          <w:szCs w:val="24"/>
        </w:rPr>
        <w:t xml:space="preserve">additional opportunities for market participants to reduce risk through spread trades, but also provides opportunity for hedging and risk management by commercial participants between markets in response to domestic or global economic factors that could result in varying impacts on </w:t>
      </w:r>
      <w:r w:rsidR="005D653E">
        <w:rPr>
          <w:rFonts w:ascii="Garamond" w:hAnsi="Garamond"/>
          <w:sz w:val="24"/>
          <w:szCs w:val="24"/>
        </w:rPr>
        <w:t xml:space="preserve">the </w:t>
      </w:r>
      <w:r w:rsidRPr="008F4749">
        <w:rPr>
          <w:rFonts w:ascii="Garamond" w:hAnsi="Garamond"/>
          <w:sz w:val="24"/>
          <w:szCs w:val="24"/>
        </w:rPr>
        <w:t>differing varieties of wheat.</w:t>
      </w:r>
      <w:r>
        <w:rPr>
          <w:rFonts w:ascii="Garamond" w:hAnsi="Garamond"/>
          <w:sz w:val="24"/>
          <w:szCs w:val="24"/>
        </w:rPr>
        <w:t xml:space="preserve">  </w:t>
      </w:r>
    </w:p>
    <w:p w14:paraId="499A077D" w14:textId="77777777" w:rsidR="00CA225A" w:rsidRPr="00634303" w:rsidRDefault="00CA225A" w:rsidP="00CA225A">
      <w:pPr>
        <w:jc w:val="both"/>
        <w:rPr>
          <w:rFonts w:ascii="Garamond" w:hAnsi="Garamond"/>
          <w:b/>
          <w:sz w:val="24"/>
          <w:szCs w:val="24"/>
        </w:rPr>
      </w:pPr>
    </w:p>
    <w:p w14:paraId="1D2A52DC" w14:textId="4CBB4B0E" w:rsidR="000F25A3" w:rsidRPr="00F94951" w:rsidRDefault="00CA225A" w:rsidP="009E0AEB">
      <w:pPr>
        <w:pStyle w:val="ListParagraph"/>
        <w:numPr>
          <w:ilvl w:val="0"/>
          <w:numId w:val="20"/>
        </w:numPr>
        <w:jc w:val="both"/>
      </w:pPr>
      <w:r w:rsidRPr="00F94951">
        <w:rPr>
          <w:rFonts w:ascii="Garamond" w:hAnsi="Garamond"/>
          <w:b/>
        </w:rPr>
        <w:t xml:space="preserve">Cash and Carry </w:t>
      </w:r>
      <w:r w:rsidR="00ED6421" w:rsidRPr="00F94951">
        <w:rPr>
          <w:rFonts w:ascii="Garamond" w:hAnsi="Garamond"/>
          <w:b/>
        </w:rPr>
        <w:t>Positions</w:t>
      </w:r>
    </w:p>
    <w:p w14:paraId="4B18FA23" w14:textId="77777777" w:rsidR="003C0927" w:rsidRDefault="003C0927" w:rsidP="009E0AEB">
      <w:pPr>
        <w:widowControl w:val="0"/>
        <w:autoSpaceDE w:val="0"/>
        <w:autoSpaceDN w:val="0"/>
        <w:adjustRightInd w:val="0"/>
        <w:jc w:val="both"/>
        <w:rPr>
          <w:rFonts w:ascii="Garamond" w:hAnsi="Garamond"/>
        </w:rPr>
      </w:pPr>
    </w:p>
    <w:p w14:paraId="598E8710" w14:textId="16240463" w:rsidR="003A29B1" w:rsidRPr="009E0AEB" w:rsidRDefault="000316C4" w:rsidP="00F94951">
      <w:pPr>
        <w:widowControl w:val="0"/>
        <w:autoSpaceDE w:val="0"/>
        <w:autoSpaceDN w:val="0"/>
        <w:adjustRightInd w:val="0"/>
        <w:ind w:firstLine="720"/>
        <w:jc w:val="both"/>
        <w:rPr>
          <w:rFonts w:ascii="Garamond" w:hAnsi="Garamond"/>
        </w:rPr>
      </w:pPr>
      <w:r>
        <w:rPr>
          <w:rFonts w:ascii="Garamond" w:hAnsi="Garamond"/>
          <w:sz w:val="24"/>
          <w:szCs w:val="24"/>
        </w:rPr>
        <w:t>CMC supports ICE</w:t>
      </w:r>
      <w:r w:rsidR="00FE010A">
        <w:rPr>
          <w:rFonts w:ascii="Garamond" w:hAnsi="Garamond"/>
          <w:sz w:val="24"/>
          <w:szCs w:val="24"/>
        </w:rPr>
        <w:t>’s</w:t>
      </w:r>
      <w:r>
        <w:rPr>
          <w:rFonts w:ascii="Garamond" w:hAnsi="Garamond"/>
          <w:sz w:val="24"/>
          <w:szCs w:val="24"/>
        </w:rPr>
        <w:t xml:space="preserve"> comment letter with regard to cash and carry spread </w:t>
      </w:r>
      <w:r w:rsidR="00904D61">
        <w:rPr>
          <w:rFonts w:ascii="Garamond" w:hAnsi="Garamond"/>
          <w:sz w:val="24"/>
          <w:szCs w:val="24"/>
        </w:rPr>
        <w:t xml:space="preserve">(“CAC”) </w:t>
      </w:r>
      <w:r>
        <w:rPr>
          <w:rFonts w:ascii="Garamond" w:hAnsi="Garamond"/>
          <w:sz w:val="24"/>
          <w:szCs w:val="24"/>
        </w:rPr>
        <w:t>exemptions.</w:t>
      </w:r>
      <w:r>
        <w:rPr>
          <w:rStyle w:val="FootnoteReference"/>
          <w:rFonts w:ascii="Garamond" w:hAnsi="Garamond"/>
          <w:sz w:val="24"/>
          <w:szCs w:val="24"/>
        </w:rPr>
        <w:footnoteReference w:id="24"/>
      </w:r>
      <w:r>
        <w:rPr>
          <w:rFonts w:ascii="Garamond" w:hAnsi="Garamond"/>
          <w:sz w:val="24"/>
          <w:szCs w:val="24"/>
        </w:rPr>
        <w:t xml:space="preserve">  </w:t>
      </w:r>
      <w:r w:rsidR="00904D61">
        <w:rPr>
          <w:rFonts w:ascii="Garamond" w:hAnsi="Garamond"/>
          <w:sz w:val="24"/>
          <w:szCs w:val="24"/>
        </w:rPr>
        <w:t xml:space="preserve">  As the Commission is already aware, </w:t>
      </w:r>
      <w:proofErr w:type="gramStart"/>
      <w:r w:rsidR="00904D61">
        <w:rPr>
          <w:rFonts w:ascii="Garamond" w:hAnsi="Garamond"/>
          <w:sz w:val="24"/>
          <w:szCs w:val="24"/>
        </w:rPr>
        <w:t>CAC exemptions are currently recognized by ICE</w:t>
      </w:r>
      <w:proofErr w:type="gramEnd"/>
      <w:r w:rsidR="00904D61">
        <w:rPr>
          <w:rFonts w:ascii="Garamond" w:hAnsi="Garamond"/>
          <w:sz w:val="24"/>
          <w:szCs w:val="24"/>
        </w:rPr>
        <w:t xml:space="preserve"> for contracts involving certain warehoused commodities, specifically, coffee, cocoa, and </w:t>
      </w:r>
      <w:r w:rsidR="00904D61">
        <w:rPr>
          <w:rFonts w:ascii="Garamond" w:hAnsi="Garamond"/>
          <w:sz w:val="24"/>
          <w:szCs w:val="24"/>
        </w:rPr>
        <w:lastRenderedPageBreak/>
        <w:t>FCOJ.</w:t>
      </w:r>
      <w:r w:rsidR="00904D61">
        <w:rPr>
          <w:rStyle w:val="FootnoteReference"/>
          <w:rFonts w:ascii="Garamond" w:hAnsi="Garamond"/>
          <w:sz w:val="24"/>
          <w:szCs w:val="24"/>
        </w:rPr>
        <w:footnoteReference w:id="25"/>
      </w:r>
      <w:r w:rsidR="00904D61">
        <w:rPr>
          <w:rFonts w:ascii="Garamond" w:hAnsi="Garamond"/>
          <w:sz w:val="24"/>
          <w:szCs w:val="24"/>
        </w:rPr>
        <w:t xml:space="preserve">  ICE maintains strict procedures that set the terms by which these exemptions may be granted and the spread differential at which the trader will be obligated to liquidate positions, and these procedures have been in place for many years.  T</w:t>
      </w:r>
      <w:r w:rsidR="003A29B1" w:rsidRPr="009E0AEB">
        <w:rPr>
          <w:rFonts w:ascii="Garamond" w:hAnsi="Garamond"/>
          <w:sz w:val="24"/>
          <w:szCs w:val="24"/>
        </w:rPr>
        <w:t xml:space="preserve">he availability of </w:t>
      </w:r>
      <w:r w:rsidR="00904D61">
        <w:rPr>
          <w:rFonts w:ascii="Garamond" w:hAnsi="Garamond"/>
          <w:sz w:val="24"/>
          <w:szCs w:val="24"/>
        </w:rPr>
        <w:t>CAC exemptions serve</w:t>
      </w:r>
      <w:r w:rsidR="003A29B1" w:rsidRPr="009E0AEB">
        <w:rPr>
          <w:rFonts w:ascii="Garamond" w:hAnsi="Garamond"/>
          <w:sz w:val="24"/>
          <w:szCs w:val="24"/>
        </w:rPr>
        <w:t xml:space="preserve"> an economic purpose in the days leading up to first notice day and throughout </w:t>
      </w:r>
      <w:r w:rsidR="007221F4">
        <w:rPr>
          <w:rFonts w:ascii="Garamond" w:hAnsi="Garamond"/>
          <w:sz w:val="24"/>
          <w:szCs w:val="24"/>
        </w:rPr>
        <w:t xml:space="preserve">the </w:t>
      </w:r>
      <w:r w:rsidR="003A29B1" w:rsidRPr="009E0AEB">
        <w:rPr>
          <w:rFonts w:ascii="Garamond" w:hAnsi="Garamond"/>
          <w:sz w:val="24"/>
          <w:szCs w:val="24"/>
        </w:rPr>
        <w:t>notice period, because the exemptions help maintain an appropriate economic relationship between the nearby and next successive delivery month.</w:t>
      </w:r>
      <w:r w:rsidR="00F17874">
        <w:rPr>
          <w:rStyle w:val="FootnoteReference"/>
          <w:rFonts w:ascii="Garamond" w:hAnsi="Garamond"/>
          <w:sz w:val="24"/>
          <w:szCs w:val="24"/>
        </w:rPr>
        <w:footnoteReference w:id="26"/>
      </w:r>
      <w:r w:rsidR="003A29B1" w:rsidRPr="009E0AEB">
        <w:rPr>
          <w:rFonts w:ascii="Garamond" w:hAnsi="Garamond"/>
          <w:sz w:val="24"/>
          <w:szCs w:val="24"/>
        </w:rPr>
        <w:t xml:space="preserve"> </w:t>
      </w:r>
      <w:r w:rsidR="00904D61">
        <w:rPr>
          <w:rFonts w:ascii="Garamond" w:hAnsi="Garamond"/>
          <w:sz w:val="24"/>
          <w:szCs w:val="24"/>
        </w:rPr>
        <w:t xml:space="preserve"> </w:t>
      </w:r>
      <w:r w:rsidR="003A29B1" w:rsidRPr="009E0AEB">
        <w:rPr>
          <w:rFonts w:ascii="Garamond" w:hAnsi="Garamond"/>
          <w:sz w:val="24"/>
          <w:szCs w:val="24"/>
        </w:rPr>
        <w:t xml:space="preserve">Among other market benefits, the holder of the exemption provides liquidity so that traders that carry short positions into the notice period without the capability to deliver may exit their positions in an orderly manner. </w:t>
      </w:r>
    </w:p>
    <w:p w14:paraId="3965747E" w14:textId="77777777" w:rsidR="003A29B1" w:rsidRDefault="003A29B1" w:rsidP="009E0AEB">
      <w:pPr>
        <w:widowControl w:val="0"/>
        <w:autoSpaceDE w:val="0"/>
        <w:autoSpaceDN w:val="0"/>
        <w:adjustRightInd w:val="0"/>
        <w:jc w:val="both"/>
        <w:rPr>
          <w:rFonts w:ascii="Garamond" w:hAnsi="Garamond"/>
        </w:rPr>
      </w:pPr>
    </w:p>
    <w:p w14:paraId="76879A9E" w14:textId="77777777" w:rsidR="00894302" w:rsidRDefault="003A29B1" w:rsidP="00222BEB">
      <w:pPr>
        <w:widowControl w:val="0"/>
        <w:autoSpaceDE w:val="0"/>
        <w:autoSpaceDN w:val="0"/>
        <w:adjustRightInd w:val="0"/>
        <w:ind w:firstLine="720"/>
        <w:jc w:val="both"/>
        <w:rPr>
          <w:rFonts w:ascii="Garamond" w:hAnsi="Garamond"/>
          <w:sz w:val="24"/>
          <w:szCs w:val="24"/>
        </w:rPr>
      </w:pPr>
      <w:r w:rsidRPr="009E0AEB">
        <w:rPr>
          <w:rFonts w:ascii="Garamond" w:hAnsi="Garamond"/>
          <w:sz w:val="24"/>
          <w:szCs w:val="24"/>
        </w:rPr>
        <w:t>The important economic function played by this spread exemption in the case of coffee and cocoa is explained by the lack of uniformity of the physical product, which depends not only on the age of the certificate for coffee</w:t>
      </w:r>
      <w:r w:rsidR="00BF0D14">
        <w:rPr>
          <w:rFonts w:ascii="Garamond" w:hAnsi="Garamond"/>
          <w:sz w:val="24"/>
          <w:szCs w:val="24"/>
        </w:rPr>
        <w:t>,</w:t>
      </w:r>
      <w:r w:rsidRPr="009E0AEB">
        <w:rPr>
          <w:rFonts w:ascii="Garamond" w:hAnsi="Garamond"/>
          <w:sz w:val="24"/>
          <w:szCs w:val="24"/>
        </w:rPr>
        <w:t xml:space="preserve"> but more importantly on its origin, grade, port of storage, harvest season, and the demand for the various combinations of attributes. </w:t>
      </w:r>
      <w:r w:rsidR="00904D61">
        <w:rPr>
          <w:rFonts w:ascii="Garamond" w:hAnsi="Garamond"/>
          <w:sz w:val="24"/>
          <w:szCs w:val="24"/>
        </w:rPr>
        <w:t xml:space="preserve"> </w:t>
      </w:r>
      <w:r w:rsidRPr="009E0AEB">
        <w:rPr>
          <w:rFonts w:ascii="Garamond" w:hAnsi="Garamond"/>
          <w:sz w:val="24"/>
          <w:szCs w:val="24"/>
        </w:rPr>
        <w:t xml:space="preserve">These differing characteristics mean that commercial hedgers rarely meet </w:t>
      </w:r>
      <w:r w:rsidR="00904D61">
        <w:rPr>
          <w:rFonts w:ascii="Garamond" w:hAnsi="Garamond"/>
          <w:sz w:val="24"/>
          <w:szCs w:val="24"/>
        </w:rPr>
        <w:t>ICE</w:t>
      </w:r>
      <w:r w:rsidRPr="009E0AEB">
        <w:rPr>
          <w:rFonts w:ascii="Garamond" w:hAnsi="Garamond"/>
          <w:sz w:val="24"/>
          <w:szCs w:val="24"/>
        </w:rPr>
        <w:t xml:space="preserve"> requirements for long spot month hedge exemptions because there is no certainty that the certified product they receive will meet the very specific provisions found in their coffee and cocoa commercial contracts. </w:t>
      </w:r>
      <w:r w:rsidR="00904D61">
        <w:rPr>
          <w:rFonts w:ascii="Garamond" w:hAnsi="Garamond"/>
          <w:sz w:val="24"/>
          <w:szCs w:val="24"/>
        </w:rPr>
        <w:t xml:space="preserve"> </w:t>
      </w:r>
      <w:r w:rsidRPr="009E0AEB">
        <w:rPr>
          <w:rFonts w:ascii="Garamond" w:hAnsi="Garamond"/>
          <w:sz w:val="24"/>
          <w:szCs w:val="24"/>
        </w:rPr>
        <w:t xml:space="preserve">Thus, when there are plentiful certified stocks, this can create an imbalance in the expiring contract month because holders of certified stocks are eligible for short hedge exemptions while few traders qualify for long hedge exemptions. </w:t>
      </w:r>
      <w:r w:rsidR="00904D61">
        <w:rPr>
          <w:rFonts w:ascii="Garamond" w:hAnsi="Garamond"/>
          <w:sz w:val="24"/>
          <w:szCs w:val="24"/>
        </w:rPr>
        <w:t xml:space="preserve"> </w:t>
      </w:r>
      <w:r w:rsidRPr="009E0AEB">
        <w:rPr>
          <w:rFonts w:ascii="Garamond" w:hAnsi="Garamond"/>
          <w:sz w:val="24"/>
          <w:szCs w:val="24"/>
        </w:rPr>
        <w:t xml:space="preserve">This may result in the nearby spread trading at a differential that is wider than the full cost of carry, which could result in the expiring month failing to converge with cash prices. </w:t>
      </w:r>
      <w:r w:rsidR="00904D61">
        <w:rPr>
          <w:rFonts w:ascii="Garamond" w:hAnsi="Garamond"/>
          <w:sz w:val="24"/>
          <w:szCs w:val="24"/>
        </w:rPr>
        <w:t xml:space="preserve"> </w:t>
      </w:r>
    </w:p>
    <w:p w14:paraId="791E4D6B" w14:textId="77777777" w:rsidR="00894302" w:rsidRDefault="00894302" w:rsidP="009E0AEB">
      <w:pPr>
        <w:widowControl w:val="0"/>
        <w:autoSpaceDE w:val="0"/>
        <w:autoSpaceDN w:val="0"/>
        <w:adjustRightInd w:val="0"/>
        <w:jc w:val="both"/>
        <w:rPr>
          <w:rFonts w:ascii="Garamond" w:hAnsi="Garamond"/>
          <w:sz w:val="24"/>
          <w:szCs w:val="24"/>
        </w:rPr>
      </w:pPr>
    </w:p>
    <w:p w14:paraId="25794C00" w14:textId="43748B20" w:rsidR="003A29B1" w:rsidRPr="009E0AEB" w:rsidRDefault="00904D61" w:rsidP="00222BEB">
      <w:pPr>
        <w:widowControl w:val="0"/>
        <w:autoSpaceDE w:val="0"/>
        <w:autoSpaceDN w:val="0"/>
        <w:adjustRightInd w:val="0"/>
        <w:ind w:firstLine="720"/>
        <w:jc w:val="both"/>
        <w:rPr>
          <w:rFonts w:ascii="Garamond" w:hAnsi="Garamond" w:cs="Times"/>
        </w:rPr>
      </w:pPr>
      <w:r>
        <w:rPr>
          <w:rFonts w:ascii="Garamond" w:hAnsi="Garamond"/>
          <w:sz w:val="24"/>
          <w:szCs w:val="24"/>
        </w:rPr>
        <w:t>In turn</w:t>
      </w:r>
      <w:r w:rsidR="003A29B1" w:rsidRPr="009E0AEB">
        <w:rPr>
          <w:rFonts w:ascii="Garamond" w:hAnsi="Garamond"/>
          <w:sz w:val="24"/>
          <w:szCs w:val="24"/>
        </w:rPr>
        <w:t xml:space="preserve">, by providing commercial market participants with the opportunity to compete for the ownership of certified inventories beyond the limitations of the spot month position limit, </w:t>
      </w:r>
      <w:r>
        <w:rPr>
          <w:rFonts w:ascii="Garamond" w:hAnsi="Garamond"/>
          <w:sz w:val="24"/>
          <w:szCs w:val="24"/>
        </w:rPr>
        <w:t>ICE</w:t>
      </w:r>
      <w:r w:rsidR="00222BEB">
        <w:rPr>
          <w:rFonts w:ascii="Garamond" w:hAnsi="Garamond"/>
          <w:sz w:val="24"/>
          <w:szCs w:val="24"/>
        </w:rPr>
        <w:t xml:space="preserve"> helps to </w:t>
      </w:r>
      <w:r w:rsidR="003A29B1" w:rsidRPr="009E0AEB">
        <w:rPr>
          <w:rFonts w:ascii="Garamond" w:hAnsi="Garamond"/>
          <w:sz w:val="24"/>
          <w:szCs w:val="24"/>
        </w:rPr>
        <w:t xml:space="preserve">maintain a balanced market and </w:t>
      </w:r>
      <w:r w:rsidR="00222BEB">
        <w:rPr>
          <w:rFonts w:ascii="Garamond" w:hAnsi="Garamond"/>
          <w:sz w:val="24"/>
          <w:szCs w:val="24"/>
        </w:rPr>
        <w:t xml:space="preserve">to </w:t>
      </w:r>
      <w:r w:rsidR="003A29B1" w:rsidRPr="009E0AEB">
        <w:rPr>
          <w:rFonts w:ascii="Garamond" w:hAnsi="Garamond"/>
          <w:sz w:val="24"/>
          <w:szCs w:val="24"/>
        </w:rPr>
        <w:t>ensure an orderly liquidation.</w:t>
      </w:r>
      <w:r w:rsidR="00F17874">
        <w:rPr>
          <w:rStyle w:val="FootnoteReference"/>
          <w:rFonts w:ascii="Garamond" w:hAnsi="Garamond"/>
          <w:sz w:val="24"/>
          <w:szCs w:val="24"/>
        </w:rPr>
        <w:footnoteReference w:id="27"/>
      </w:r>
      <w:r w:rsidR="003A29B1" w:rsidRPr="009E0AEB">
        <w:rPr>
          <w:rFonts w:ascii="Garamond" w:hAnsi="Garamond"/>
          <w:sz w:val="24"/>
          <w:szCs w:val="24"/>
        </w:rPr>
        <w:t xml:space="preserve"> </w:t>
      </w:r>
      <w:r>
        <w:rPr>
          <w:rFonts w:ascii="Garamond" w:hAnsi="Garamond"/>
          <w:sz w:val="24"/>
          <w:szCs w:val="24"/>
        </w:rPr>
        <w:t xml:space="preserve"> </w:t>
      </w:r>
      <w:r w:rsidR="006E5A2C">
        <w:rPr>
          <w:rFonts w:ascii="Garamond" w:hAnsi="Garamond"/>
          <w:sz w:val="24"/>
          <w:szCs w:val="24"/>
        </w:rPr>
        <w:t>Consequently</w:t>
      </w:r>
      <w:r>
        <w:rPr>
          <w:rFonts w:ascii="Garamond" w:hAnsi="Garamond"/>
          <w:sz w:val="24"/>
          <w:szCs w:val="24"/>
        </w:rPr>
        <w:t xml:space="preserve">, the CFTC should allow the exchanges to grant CAC spread exemptions in the last five days of trading, and the conditions on when the market participants must enter and exit positions should be left to the discretion of the exchanges.  </w:t>
      </w:r>
    </w:p>
    <w:p w14:paraId="00C27630" w14:textId="77777777" w:rsidR="003A29B1" w:rsidRDefault="003A29B1" w:rsidP="009E0AEB">
      <w:pPr>
        <w:widowControl w:val="0"/>
        <w:autoSpaceDE w:val="0"/>
        <w:autoSpaceDN w:val="0"/>
        <w:adjustRightInd w:val="0"/>
        <w:rPr>
          <w:rFonts w:ascii="Garamond" w:hAnsi="Garamond"/>
          <w:sz w:val="24"/>
          <w:szCs w:val="24"/>
        </w:rPr>
      </w:pPr>
    </w:p>
    <w:p w14:paraId="4CC6C082" w14:textId="2B92D3BF" w:rsidR="00CA225A" w:rsidRPr="00F04B94" w:rsidRDefault="003912A3" w:rsidP="00F04B94">
      <w:pPr>
        <w:pStyle w:val="ListParagraph"/>
        <w:numPr>
          <w:ilvl w:val="0"/>
          <w:numId w:val="20"/>
        </w:numPr>
        <w:jc w:val="both"/>
        <w:rPr>
          <w:rFonts w:ascii="Garamond" w:hAnsi="Garamond"/>
          <w:b/>
        </w:rPr>
      </w:pPr>
      <w:r>
        <w:rPr>
          <w:rFonts w:ascii="Garamond" w:hAnsi="Garamond"/>
          <w:b/>
        </w:rPr>
        <w:t>Proposed Reporting Requirements for Commercial End-Users</w:t>
      </w:r>
      <w:r w:rsidR="00222BEB">
        <w:rPr>
          <w:rFonts w:ascii="Garamond" w:hAnsi="Garamond"/>
          <w:b/>
        </w:rPr>
        <w:t xml:space="preserve"> and Exchanges</w:t>
      </w:r>
    </w:p>
    <w:p w14:paraId="751AD72D" w14:textId="77777777" w:rsidR="00E93FCF" w:rsidRPr="00901C48" w:rsidRDefault="00E93FCF" w:rsidP="00CA225A">
      <w:pPr>
        <w:jc w:val="both"/>
        <w:rPr>
          <w:rFonts w:ascii="Garamond" w:hAnsi="Garamond"/>
          <w:sz w:val="24"/>
          <w:szCs w:val="24"/>
        </w:rPr>
      </w:pPr>
    </w:p>
    <w:p w14:paraId="2E6E2924" w14:textId="144813E9" w:rsidR="004A19F9" w:rsidRPr="00B875BC" w:rsidRDefault="00A25D51" w:rsidP="00B875BC">
      <w:pPr>
        <w:pStyle w:val="ListParagraph"/>
        <w:numPr>
          <w:ilvl w:val="1"/>
          <w:numId w:val="20"/>
        </w:numPr>
        <w:jc w:val="both"/>
        <w:rPr>
          <w:rFonts w:ascii="Garamond" w:hAnsi="Garamond"/>
          <w:b/>
        </w:rPr>
      </w:pPr>
      <w:r w:rsidRPr="00B875BC">
        <w:rPr>
          <w:rFonts w:ascii="Garamond" w:hAnsi="Garamond"/>
          <w:b/>
        </w:rPr>
        <w:t xml:space="preserve">Reporting Requirements for Non-Enumerated </w:t>
      </w:r>
      <w:r w:rsidRPr="00B875BC">
        <w:rPr>
          <w:rFonts w:ascii="Garamond" w:hAnsi="Garamond"/>
          <w:b/>
          <w:i/>
        </w:rPr>
        <w:t xml:space="preserve">Bona Fide </w:t>
      </w:r>
      <w:r w:rsidRPr="00B875BC">
        <w:rPr>
          <w:rFonts w:ascii="Garamond" w:hAnsi="Garamond"/>
          <w:b/>
        </w:rPr>
        <w:t>Hedges, Spreads, and Anticipatory Hedge Positions</w:t>
      </w:r>
    </w:p>
    <w:p w14:paraId="372D392D" w14:textId="77777777" w:rsidR="00A25D51" w:rsidRDefault="00A25D51" w:rsidP="00B875BC">
      <w:pPr>
        <w:jc w:val="both"/>
        <w:rPr>
          <w:rFonts w:ascii="Garamond" w:hAnsi="Garamond"/>
          <w:b/>
        </w:rPr>
      </w:pPr>
    </w:p>
    <w:p w14:paraId="7F4ECB70" w14:textId="322862A0" w:rsidR="00E70AD3" w:rsidRDefault="00C04769" w:rsidP="00222BEB">
      <w:pPr>
        <w:ind w:firstLine="720"/>
        <w:jc w:val="both"/>
        <w:rPr>
          <w:rFonts w:ascii="Garamond" w:hAnsi="Garamond"/>
          <w:sz w:val="24"/>
          <w:szCs w:val="24"/>
        </w:rPr>
      </w:pPr>
      <w:r>
        <w:rPr>
          <w:rFonts w:ascii="Garamond" w:hAnsi="Garamond"/>
          <w:sz w:val="24"/>
          <w:szCs w:val="24"/>
        </w:rPr>
        <w:t>CMC supports FIA’s comment letter</w:t>
      </w:r>
      <w:r w:rsidR="0041797A">
        <w:rPr>
          <w:rStyle w:val="FootnoteReference"/>
          <w:rFonts w:ascii="Garamond" w:hAnsi="Garamond"/>
          <w:sz w:val="24"/>
          <w:szCs w:val="24"/>
        </w:rPr>
        <w:footnoteReference w:id="28"/>
      </w:r>
      <w:r>
        <w:rPr>
          <w:rFonts w:ascii="Garamond" w:hAnsi="Garamond"/>
          <w:sz w:val="24"/>
          <w:szCs w:val="24"/>
        </w:rPr>
        <w:t xml:space="preserve"> recommending that the Commission remove </w:t>
      </w:r>
      <w:r w:rsidR="003576D0">
        <w:rPr>
          <w:rFonts w:ascii="Garamond" w:hAnsi="Garamond"/>
          <w:sz w:val="24"/>
          <w:szCs w:val="24"/>
        </w:rPr>
        <w:t>the proposed requirement that</w:t>
      </w:r>
      <w:r>
        <w:rPr>
          <w:rFonts w:ascii="Garamond" w:hAnsi="Garamond"/>
          <w:sz w:val="24"/>
          <w:szCs w:val="24"/>
        </w:rPr>
        <w:t xml:space="preserve"> exchange</w:t>
      </w:r>
      <w:r w:rsidR="003576D0">
        <w:rPr>
          <w:rFonts w:ascii="Garamond" w:hAnsi="Garamond"/>
          <w:sz w:val="24"/>
          <w:szCs w:val="24"/>
        </w:rPr>
        <w:t>s</w:t>
      </w:r>
      <w:r>
        <w:rPr>
          <w:rFonts w:ascii="Garamond" w:hAnsi="Garamond"/>
          <w:sz w:val="24"/>
          <w:szCs w:val="24"/>
        </w:rPr>
        <w:t xml:space="preserve"> adopt enhanced reporting rules for market participants that rely on NEBFH</w:t>
      </w:r>
      <w:r w:rsidR="00B157DE">
        <w:rPr>
          <w:rFonts w:ascii="Garamond" w:hAnsi="Garamond"/>
          <w:sz w:val="24"/>
          <w:szCs w:val="24"/>
        </w:rPr>
        <w:t xml:space="preserve"> exemptions</w:t>
      </w:r>
      <w:r>
        <w:rPr>
          <w:rFonts w:ascii="Garamond" w:hAnsi="Garamond"/>
          <w:sz w:val="24"/>
          <w:szCs w:val="24"/>
        </w:rPr>
        <w:t>, spread</w:t>
      </w:r>
      <w:r w:rsidR="00B157DE">
        <w:rPr>
          <w:rFonts w:ascii="Garamond" w:hAnsi="Garamond"/>
          <w:sz w:val="24"/>
          <w:szCs w:val="24"/>
        </w:rPr>
        <w:t xml:space="preserve"> exemptions</w:t>
      </w:r>
      <w:r>
        <w:rPr>
          <w:rFonts w:ascii="Garamond" w:hAnsi="Garamond"/>
          <w:sz w:val="24"/>
          <w:szCs w:val="24"/>
        </w:rPr>
        <w:t>, and anticipatory</w:t>
      </w:r>
      <w:r w:rsidR="00B157DE">
        <w:rPr>
          <w:rFonts w:ascii="Garamond" w:hAnsi="Garamond"/>
          <w:sz w:val="24"/>
          <w:szCs w:val="24"/>
        </w:rPr>
        <w:t xml:space="preserve"> hedge</w:t>
      </w:r>
      <w:r>
        <w:rPr>
          <w:rFonts w:ascii="Garamond" w:hAnsi="Garamond"/>
          <w:sz w:val="24"/>
          <w:szCs w:val="24"/>
        </w:rPr>
        <w:t xml:space="preserve"> exemptions</w:t>
      </w:r>
      <w:r w:rsidR="002D2130">
        <w:rPr>
          <w:rFonts w:ascii="Garamond" w:hAnsi="Garamond"/>
          <w:sz w:val="24"/>
          <w:szCs w:val="24"/>
        </w:rPr>
        <w:t>.</w:t>
      </w:r>
      <w:r w:rsidR="002D2130">
        <w:rPr>
          <w:rStyle w:val="FootnoteReference"/>
          <w:rFonts w:ascii="Garamond" w:hAnsi="Garamond"/>
          <w:sz w:val="24"/>
          <w:szCs w:val="24"/>
        </w:rPr>
        <w:footnoteReference w:id="29"/>
      </w:r>
      <w:r w:rsidR="0081165B">
        <w:rPr>
          <w:rFonts w:ascii="Garamond" w:hAnsi="Garamond"/>
          <w:sz w:val="24"/>
          <w:szCs w:val="24"/>
        </w:rPr>
        <w:t xml:space="preserve"> </w:t>
      </w:r>
      <w:r w:rsidR="0041797A">
        <w:rPr>
          <w:rFonts w:ascii="Garamond" w:hAnsi="Garamond"/>
          <w:sz w:val="24"/>
          <w:szCs w:val="24"/>
        </w:rPr>
        <w:t xml:space="preserve"> </w:t>
      </w:r>
      <w:r w:rsidR="00BE5041">
        <w:rPr>
          <w:rFonts w:ascii="Garamond" w:hAnsi="Garamond"/>
          <w:sz w:val="24"/>
          <w:szCs w:val="24"/>
        </w:rPr>
        <w:t>Generally, most commercial and end-user firms hedge risk on a portfolio basis and do not distinguish between</w:t>
      </w:r>
      <w:r w:rsidR="00BE5041">
        <w:rPr>
          <w:rFonts w:ascii="Garamond" w:hAnsi="Garamond"/>
          <w:i/>
          <w:sz w:val="24"/>
          <w:szCs w:val="24"/>
        </w:rPr>
        <w:t xml:space="preserve"> </w:t>
      </w:r>
      <w:r w:rsidR="00BE5041">
        <w:rPr>
          <w:rFonts w:ascii="Garamond" w:hAnsi="Garamond"/>
          <w:sz w:val="24"/>
          <w:szCs w:val="24"/>
        </w:rPr>
        <w:t xml:space="preserve">different types of </w:t>
      </w:r>
      <w:r w:rsidR="00BE5041">
        <w:rPr>
          <w:rFonts w:ascii="Garamond" w:hAnsi="Garamond"/>
          <w:i/>
          <w:sz w:val="24"/>
          <w:szCs w:val="24"/>
        </w:rPr>
        <w:t xml:space="preserve">bona fide </w:t>
      </w:r>
      <w:r w:rsidR="00BE5041">
        <w:rPr>
          <w:rFonts w:ascii="Garamond" w:hAnsi="Garamond"/>
          <w:sz w:val="24"/>
          <w:szCs w:val="24"/>
        </w:rPr>
        <w:t xml:space="preserve">hedging transactions </w:t>
      </w:r>
      <w:r w:rsidR="00FE010A">
        <w:rPr>
          <w:rFonts w:ascii="Garamond" w:hAnsi="Garamond"/>
          <w:sz w:val="24"/>
          <w:szCs w:val="24"/>
        </w:rPr>
        <w:t xml:space="preserve">- </w:t>
      </w:r>
      <w:r w:rsidR="00BE5041">
        <w:rPr>
          <w:rFonts w:ascii="Garamond" w:hAnsi="Garamond"/>
          <w:sz w:val="24"/>
          <w:szCs w:val="24"/>
        </w:rPr>
        <w:t xml:space="preserve">because a hedge is a hedge.  </w:t>
      </w:r>
      <w:r w:rsidR="00C54FD0">
        <w:rPr>
          <w:rFonts w:ascii="Garamond" w:hAnsi="Garamond"/>
          <w:sz w:val="24"/>
          <w:szCs w:val="24"/>
        </w:rPr>
        <w:t>The Supplemental Proposal builds on the Commission’s 2013 Propos</w:t>
      </w:r>
      <w:r w:rsidR="00640C5E">
        <w:rPr>
          <w:rFonts w:ascii="Garamond" w:hAnsi="Garamond"/>
          <w:sz w:val="24"/>
          <w:szCs w:val="24"/>
        </w:rPr>
        <w:t>ed Rule</w:t>
      </w:r>
      <w:r w:rsidR="00C54FD0">
        <w:rPr>
          <w:rFonts w:ascii="Garamond" w:hAnsi="Garamond"/>
          <w:sz w:val="24"/>
          <w:szCs w:val="24"/>
        </w:rPr>
        <w:t xml:space="preserve"> and envisages a regime under which holders of a NEBFH would notify the market when it placed positions into the market in reliance of the NEBFH.  Notably, this would be required for each NEBFH held by or relied up</w:t>
      </w:r>
      <w:r w:rsidR="00640C5E">
        <w:rPr>
          <w:rFonts w:ascii="Garamond" w:hAnsi="Garamond"/>
          <w:sz w:val="24"/>
          <w:szCs w:val="24"/>
        </w:rPr>
        <w:t>on</w:t>
      </w:r>
      <w:r w:rsidR="00C54FD0">
        <w:rPr>
          <w:rFonts w:ascii="Garamond" w:hAnsi="Garamond"/>
          <w:sz w:val="24"/>
          <w:szCs w:val="24"/>
        </w:rPr>
        <w:t xml:space="preserve"> by the market participant.  Additionally, the Commission would require such market participants to file </w:t>
      </w:r>
      <w:r w:rsidR="00C54FD0">
        <w:rPr>
          <w:rFonts w:ascii="Garamond" w:hAnsi="Garamond"/>
          <w:sz w:val="24"/>
          <w:szCs w:val="24"/>
        </w:rPr>
        <w:lastRenderedPageBreak/>
        <w:t xml:space="preserve">cash reports via a new Form 504 that would require the identification of the cash held against each NEBFH position in the market – again separately for each NEBFH held by or relied upon.  </w:t>
      </w:r>
    </w:p>
    <w:p w14:paraId="7602AC6F" w14:textId="77777777" w:rsidR="00E70AD3" w:rsidRDefault="00E70AD3" w:rsidP="00B875BC">
      <w:pPr>
        <w:jc w:val="both"/>
        <w:rPr>
          <w:rFonts w:ascii="Garamond" w:hAnsi="Garamond"/>
          <w:sz w:val="24"/>
          <w:szCs w:val="24"/>
        </w:rPr>
      </w:pPr>
    </w:p>
    <w:p w14:paraId="41E73964" w14:textId="0CDF851F" w:rsidR="006F6F40" w:rsidRDefault="00BE5041" w:rsidP="00222BEB">
      <w:pPr>
        <w:ind w:firstLine="720"/>
        <w:jc w:val="both"/>
        <w:rPr>
          <w:rFonts w:ascii="Garamond" w:hAnsi="Garamond"/>
          <w:sz w:val="24"/>
          <w:szCs w:val="24"/>
        </w:rPr>
      </w:pPr>
      <w:r>
        <w:rPr>
          <w:rFonts w:ascii="Garamond" w:hAnsi="Garamond"/>
          <w:sz w:val="24"/>
          <w:szCs w:val="24"/>
        </w:rPr>
        <w:t xml:space="preserve">The proposed enhanced reporting requirements </w:t>
      </w:r>
      <w:r w:rsidR="00C54FD0">
        <w:rPr>
          <w:rFonts w:ascii="Garamond" w:hAnsi="Garamond"/>
          <w:sz w:val="24"/>
          <w:szCs w:val="24"/>
        </w:rPr>
        <w:t>would require</w:t>
      </w:r>
      <w:r>
        <w:rPr>
          <w:rFonts w:ascii="Garamond" w:hAnsi="Garamond"/>
          <w:sz w:val="24"/>
          <w:szCs w:val="24"/>
        </w:rPr>
        <w:t xml:space="preserve"> a market participant to alter its current business practices to separately report its NEBFH and anticipatory hedging activity</w:t>
      </w:r>
      <w:r w:rsidR="002B11FA">
        <w:rPr>
          <w:rFonts w:ascii="Garamond" w:hAnsi="Garamond"/>
          <w:sz w:val="24"/>
          <w:szCs w:val="24"/>
        </w:rPr>
        <w:t xml:space="preserve">.  </w:t>
      </w:r>
      <w:r w:rsidR="00D634BD">
        <w:rPr>
          <w:rFonts w:ascii="Garamond" w:hAnsi="Garamond"/>
          <w:sz w:val="24"/>
          <w:szCs w:val="24"/>
        </w:rPr>
        <w:t xml:space="preserve">For instance, market participants would have to invest in costly technology to update their infrastructure to identify </w:t>
      </w:r>
      <w:r w:rsidR="00BA13F6">
        <w:rPr>
          <w:rFonts w:ascii="Garamond" w:hAnsi="Garamond"/>
          <w:sz w:val="24"/>
          <w:szCs w:val="24"/>
        </w:rPr>
        <w:t xml:space="preserve">each </w:t>
      </w:r>
      <w:r w:rsidR="00D634BD">
        <w:rPr>
          <w:rFonts w:ascii="Garamond" w:hAnsi="Garamond"/>
          <w:sz w:val="24"/>
          <w:szCs w:val="24"/>
        </w:rPr>
        <w:t xml:space="preserve">NEBFH and associated cash positions, </w:t>
      </w:r>
      <w:r w:rsidR="00BA13F6">
        <w:rPr>
          <w:rFonts w:ascii="Garamond" w:hAnsi="Garamond"/>
          <w:sz w:val="24"/>
          <w:szCs w:val="24"/>
        </w:rPr>
        <w:t xml:space="preserve">to adopt a separate internal accounting requirement just for hedging positions, </w:t>
      </w:r>
      <w:r w:rsidR="00D634BD">
        <w:rPr>
          <w:rFonts w:ascii="Garamond" w:hAnsi="Garamond"/>
          <w:sz w:val="24"/>
          <w:szCs w:val="24"/>
        </w:rPr>
        <w:t xml:space="preserve">and </w:t>
      </w:r>
      <w:r w:rsidR="00BA13F6">
        <w:rPr>
          <w:rFonts w:ascii="Garamond" w:hAnsi="Garamond"/>
          <w:sz w:val="24"/>
          <w:szCs w:val="24"/>
        </w:rPr>
        <w:t xml:space="preserve">to </w:t>
      </w:r>
      <w:r w:rsidR="00D634BD">
        <w:rPr>
          <w:rFonts w:ascii="Garamond" w:hAnsi="Garamond"/>
          <w:sz w:val="24"/>
          <w:szCs w:val="24"/>
        </w:rPr>
        <w:t xml:space="preserve">report underlying exemption eligible positions to the exchange as frequently as on a daily basis up-to-date information – shifting scarce resources from actual business operations to </w:t>
      </w:r>
      <w:r w:rsidR="00AD49A7">
        <w:rPr>
          <w:rFonts w:ascii="Garamond" w:hAnsi="Garamond"/>
          <w:sz w:val="24"/>
          <w:szCs w:val="24"/>
        </w:rPr>
        <w:t xml:space="preserve">burdensome and unnecessary reporting obligations.  </w:t>
      </w:r>
    </w:p>
    <w:p w14:paraId="0F47514C" w14:textId="77777777" w:rsidR="006F6F40" w:rsidRDefault="006F6F40" w:rsidP="00B875BC">
      <w:pPr>
        <w:jc w:val="both"/>
        <w:rPr>
          <w:rFonts w:ascii="Garamond" w:hAnsi="Garamond"/>
          <w:sz w:val="24"/>
          <w:szCs w:val="24"/>
        </w:rPr>
      </w:pPr>
    </w:p>
    <w:p w14:paraId="750C7D86" w14:textId="44D5A612" w:rsidR="00220031" w:rsidRDefault="00B3070A" w:rsidP="00222BEB">
      <w:pPr>
        <w:ind w:firstLine="720"/>
        <w:jc w:val="both"/>
        <w:rPr>
          <w:rFonts w:ascii="Garamond" w:hAnsi="Garamond"/>
          <w:sz w:val="24"/>
          <w:szCs w:val="24"/>
        </w:rPr>
      </w:pPr>
      <w:r>
        <w:rPr>
          <w:rFonts w:ascii="Garamond" w:hAnsi="Garamond"/>
          <w:sz w:val="24"/>
          <w:szCs w:val="24"/>
        </w:rPr>
        <w:t>The same concerns apply to enhanced reporting requirements related to exemptions during the spot period or the last five days of trading</w:t>
      </w:r>
      <w:r w:rsidR="007465C3">
        <w:rPr>
          <w:rFonts w:ascii="Garamond" w:hAnsi="Garamond"/>
          <w:sz w:val="24"/>
          <w:szCs w:val="24"/>
        </w:rPr>
        <w:t>, requiring firms to show three years of cash market positions to justify a NEBFH</w:t>
      </w:r>
      <w:r w:rsidR="00220031">
        <w:rPr>
          <w:rFonts w:ascii="Garamond" w:hAnsi="Garamond"/>
          <w:sz w:val="24"/>
          <w:szCs w:val="24"/>
        </w:rPr>
        <w:t>, and requiring m</w:t>
      </w:r>
      <w:r w:rsidR="00220031" w:rsidRPr="006C1C02">
        <w:rPr>
          <w:rFonts w:ascii="Garamond" w:hAnsi="Garamond"/>
          <w:sz w:val="24"/>
          <w:szCs w:val="24"/>
        </w:rPr>
        <w:t xml:space="preserve">arket participants holding positions above the speculative limits according to a BFH </w:t>
      </w:r>
      <w:r w:rsidR="00220031">
        <w:rPr>
          <w:rFonts w:ascii="Garamond" w:hAnsi="Garamond"/>
          <w:sz w:val="24"/>
          <w:szCs w:val="24"/>
        </w:rPr>
        <w:t>exemption - enumerated and NEBFH - to report their daily cash positions</w:t>
      </w:r>
      <w:r>
        <w:rPr>
          <w:rFonts w:ascii="Garamond" w:hAnsi="Garamond"/>
          <w:sz w:val="24"/>
          <w:szCs w:val="24"/>
        </w:rPr>
        <w:t xml:space="preserve">.  </w:t>
      </w:r>
      <w:r w:rsidR="00AD49A7">
        <w:rPr>
          <w:rFonts w:ascii="Garamond" w:hAnsi="Garamond"/>
          <w:sz w:val="24"/>
          <w:szCs w:val="24"/>
        </w:rPr>
        <w:t xml:space="preserve">As illustrated, </w:t>
      </w:r>
      <w:r w:rsidR="00993B57">
        <w:rPr>
          <w:rFonts w:ascii="Garamond" w:hAnsi="Garamond"/>
          <w:sz w:val="24"/>
          <w:szCs w:val="24"/>
        </w:rPr>
        <w:t xml:space="preserve">these </w:t>
      </w:r>
      <w:r w:rsidR="002B11FA">
        <w:rPr>
          <w:rFonts w:ascii="Garamond" w:hAnsi="Garamond"/>
          <w:sz w:val="24"/>
          <w:szCs w:val="24"/>
        </w:rPr>
        <w:t>process</w:t>
      </w:r>
      <w:r w:rsidR="00993B57">
        <w:rPr>
          <w:rFonts w:ascii="Garamond" w:hAnsi="Garamond"/>
          <w:sz w:val="24"/>
          <w:szCs w:val="24"/>
        </w:rPr>
        <w:t>es</w:t>
      </w:r>
      <w:r w:rsidR="00BE5041">
        <w:rPr>
          <w:rFonts w:ascii="Garamond" w:hAnsi="Garamond"/>
          <w:sz w:val="24"/>
          <w:szCs w:val="24"/>
        </w:rPr>
        <w:t xml:space="preserve"> would </w:t>
      </w:r>
      <w:r w:rsidR="004E6CBE">
        <w:rPr>
          <w:rFonts w:ascii="Garamond" w:hAnsi="Garamond"/>
          <w:sz w:val="24"/>
          <w:szCs w:val="24"/>
        </w:rPr>
        <w:t>induce</w:t>
      </w:r>
      <w:r w:rsidR="00BE5041">
        <w:rPr>
          <w:rFonts w:ascii="Garamond" w:hAnsi="Garamond"/>
          <w:sz w:val="24"/>
          <w:szCs w:val="24"/>
        </w:rPr>
        <w:t xml:space="preserve"> undue cost </w:t>
      </w:r>
      <w:r w:rsidR="004E6CBE">
        <w:rPr>
          <w:rFonts w:ascii="Garamond" w:hAnsi="Garamond"/>
          <w:sz w:val="24"/>
          <w:szCs w:val="24"/>
        </w:rPr>
        <w:t>burdens on commercial and end-user firms without any tangible benefits.</w:t>
      </w:r>
      <w:r w:rsidR="00220031">
        <w:rPr>
          <w:rFonts w:ascii="Garamond" w:hAnsi="Garamond"/>
          <w:sz w:val="24"/>
          <w:szCs w:val="24"/>
        </w:rPr>
        <w:t xml:space="preserve">  For the requirement to report daily cash positions, the feasible alternative would be to allow market participants to file a monthly report of their underlying cash positions to the exchange.  </w:t>
      </w:r>
      <w:r w:rsidR="00180B29">
        <w:rPr>
          <w:rFonts w:ascii="Garamond" w:hAnsi="Garamond"/>
          <w:sz w:val="24"/>
          <w:szCs w:val="24"/>
        </w:rPr>
        <w:t xml:space="preserve">But </w:t>
      </w:r>
      <w:r w:rsidR="007221F4">
        <w:rPr>
          <w:rFonts w:ascii="Garamond" w:hAnsi="Garamond"/>
          <w:sz w:val="24"/>
          <w:szCs w:val="24"/>
        </w:rPr>
        <w:t>as a practical matter, this reporting is unnecessary.  Sh</w:t>
      </w:r>
      <w:r w:rsidR="00C815A8">
        <w:rPr>
          <w:rFonts w:ascii="Garamond" w:hAnsi="Garamond"/>
          <w:sz w:val="24"/>
          <w:szCs w:val="24"/>
        </w:rPr>
        <w:t xml:space="preserve">ould the Commission require additional information from a market participant, </w:t>
      </w:r>
      <w:r w:rsidR="004E22BF">
        <w:rPr>
          <w:rFonts w:ascii="Garamond" w:hAnsi="Garamond"/>
          <w:sz w:val="24"/>
          <w:szCs w:val="24"/>
        </w:rPr>
        <w:t>it</w:t>
      </w:r>
      <w:r w:rsidR="00C815A8">
        <w:rPr>
          <w:rFonts w:ascii="Garamond" w:hAnsi="Garamond"/>
          <w:sz w:val="24"/>
          <w:szCs w:val="24"/>
        </w:rPr>
        <w:t xml:space="preserve"> has the ability to do so via a special call. </w:t>
      </w:r>
    </w:p>
    <w:p w14:paraId="7B3881DA" w14:textId="77777777" w:rsidR="00220031" w:rsidRDefault="00220031" w:rsidP="00B875BC">
      <w:pPr>
        <w:jc w:val="both"/>
        <w:rPr>
          <w:rFonts w:ascii="Garamond" w:hAnsi="Garamond"/>
          <w:sz w:val="24"/>
          <w:szCs w:val="24"/>
        </w:rPr>
      </w:pPr>
    </w:p>
    <w:p w14:paraId="1624C431" w14:textId="575F709A" w:rsidR="00C54FD0" w:rsidRDefault="00C54FD0" w:rsidP="00222BEB">
      <w:pPr>
        <w:ind w:firstLine="720"/>
        <w:jc w:val="both"/>
        <w:rPr>
          <w:rFonts w:ascii="Garamond" w:hAnsi="Garamond"/>
          <w:sz w:val="24"/>
          <w:szCs w:val="24"/>
        </w:rPr>
      </w:pPr>
      <w:r>
        <w:rPr>
          <w:rFonts w:ascii="Garamond" w:hAnsi="Garamond"/>
          <w:sz w:val="24"/>
          <w:szCs w:val="24"/>
        </w:rPr>
        <w:t>We believe the better approach would be to recognize that a hedge is just that – a hedge – and that once granted</w:t>
      </w:r>
      <w:proofErr w:type="gramStart"/>
      <w:r>
        <w:rPr>
          <w:rFonts w:ascii="Garamond" w:hAnsi="Garamond"/>
          <w:sz w:val="24"/>
          <w:szCs w:val="24"/>
        </w:rPr>
        <w:t>,</w:t>
      </w:r>
      <w:proofErr w:type="gramEnd"/>
      <w:r>
        <w:rPr>
          <w:rFonts w:ascii="Garamond" w:hAnsi="Garamond"/>
          <w:sz w:val="24"/>
          <w:szCs w:val="24"/>
        </w:rPr>
        <w:t xml:space="preserve"> NEBFH positions become another factor in determining a market participant’s unified hedge exemption.  </w:t>
      </w:r>
      <w:r w:rsidR="00FE39D8">
        <w:rPr>
          <w:rFonts w:ascii="Garamond" w:hAnsi="Garamond"/>
          <w:sz w:val="24"/>
          <w:szCs w:val="24"/>
        </w:rPr>
        <w:t>Currently</w:t>
      </w:r>
      <w:r>
        <w:rPr>
          <w:rFonts w:ascii="Garamond" w:hAnsi="Garamond"/>
          <w:sz w:val="24"/>
          <w:szCs w:val="24"/>
        </w:rPr>
        <w:t xml:space="preserve">, market participants holding hedge exemptions in CME </w:t>
      </w:r>
      <w:r w:rsidR="00FE39D8">
        <w:rPr>
          <w:rFonts w:ascii="Garamond" w:hAnsi="Garamond"/>
          <w:sz w:val="24"/>
          <w:szCs w:val="24"/>
        </w:rPr>
        <w:t>agricultural</w:t>
      </w:r>
      <w:r>
        <w:rPr>
          <w:rFonts w:ascii="Garamond" w:hAnsi="Garamond"/>
          <w:sz w:val="24"/>
          <w:szCs w:val="24"/>
        </w:rPr>
        <w:t xml:space="preserve"> contracts undergo an annual review of their hedge exemptions, a process that</w:t>
      </w:r>
      <w:r w:rsidR="00EA5275">
        <w:rPr>
          <w:rFonts w:ascii="Garamond" w:hAnsi="Garamond"/>
          <w:sz w:val="24"/>
          <w:szCs w:val="24"/>
        </w:rPr>
        <w:t xml:space="preserve"> </w:t>
      </w:r>
      <w:r>
        <w:rPr>
          <w:rFonts w:ascii="Garamond" w:hAnsi="Garamond"/>
          <w:sz w:val="24"/>
          <w:szCs w:val="24"/>
        </w:rPr>
        <w:t xml:space="preserve">includes </w:t>
      </w:r>
      <w:r w:rsidR="00EA5275">
        <w:rPr>
          <w:rFonts w:ascii="Garamond" w:hAnsi="Garamond"/>
          <w:sz w:val="24"/>
          <w:szCs w:val="24"/>
        </w:rPr>
        <w:t>a historical review of their</w:t>
      </w:r>
      <w:r>
        <w:rPr>
          <w:rFonts w:ascii="Garamond" w:hAnsi="Garamond"/>
          <w:sz w:val="24"/>
          <w:szCs w:val="24"/>
        </w:rPr>
        <w:t xml:space="preserve"> cash activities.  For many of these participants</w:t>
      </w:r>
      <w:r w:rsidR="00FE39D8">
        <w:rPr>
          <w:rFonts w:ascii="Garamond" w:hAnsi="Garamond"/>
          <w:sz w:val="24"/>
          <w:szCs w:val="24"/>
        </w:rPr>
        <w:t>,</w:t>
      </w:r>
      <w:r>
        <w:rPr>
          <w:rFonts w:ascii="Garamond" w:hAnsi="Garamond"/>
          <w:sz w:val="24"/>
          <w:szCs w:val="24"/>
        </w:rPr>
        <w:t xml:space="preserve"> the hedge exemptions fall short of meeting their actual physical market exposures and reflect exchange interest in maintaining healthy markets.  </w:t>
      </w:r>
      <w:r w:rsidR="00715301">
        <w:rPr>
          <w:rFonts w:ascii="Garamond" w:hAnsi="Garamond"/>
          <w:sz w:val="24"/>
          <w:szCs w:val="24"/>
        </w:rPr>
        <w:t>For these reasons</w:t>
      </w:r>
      <w:r>
        <w:rPr>
          <w:rFonts w:ascii="Garamond" w:hAnsi="Garamond"/>
          <w:sz w:val="24"/>
          <w:szCs w:val="24"/>
        </w:rPr>
        <w:t>, CM</w:t>
      </w:r>
      <w:r w:rsidR="00F43069">
        <w:rPr>
          <w:rFonts w:ascii="Garamond" w:hAnsi="Garamond"/>
          <w:sz w:val="24"/>
          <w:szCs w:val="24"/>
        </w:rPr>
        <w:t>C</w:t>
      </w:r>
      <w:r>
        <w:rPr>
          <w:rFonts w:ascii="Garamond" w:hAnsi="Garamond"/>
          <w:sz w:val="24"/>
          <w:szCs w:val="24"/>
        </w:rPr>
        <w:t xml:space="preserve"> suggest</w:t>
      </w:r>
      <w:r w:rsidR="00715301">
        <w:rPr>
          <w:rFonts w:ascii="Garamond" w:hAnsi="Garamond"/>
          <w:sz w:val="24"/>
          <w:szCs w:val="24"/>
        </w:rPr>
        <w:t>s</w:t>
      </w:r>
      <w:r>
        <w:rPr>
          <w:rFonts w:ascii="Garamond" w:hAnsi="Garamond"/>
          <w:sz w:val="24"/>
          <w:szCs w:val="24"/>
        </w:rPr>
        <w:t xml:space="preserve"> that the CFTC recognize this </w:t>
      </w:r>
      <w:r w:rsidR="00715301">
        <w:rPr>
          <w:rFonts w:ascii="Garamond" w:hAnsi="Garamond"/>
          <w:sz w:val="24"/>
          <w:szCs w:val="24"/>
        </w:rPr>
        <w:t xml:space="preserve">process </w:t>
      </w:r>
      <w:r>
        <w:rPr>
          <w:rFonts w:ascii="Garamond" w:hAnsi="Garamond"/>
          <w:sz w:val="24"/>
          <w:szCs w:val="24"/>
        </w:rPr>
        <w:t xml:space="preserve">and allow </w:t>
      </w:r>
      <w:r w:rsidR="00715301">
        <w:rPr>
          <w:rFonts w:ascii="Garamond" w:hAnsi="Garamond"/>
          <w:sz w:val="24"/>
          <w:szCs w:val="24"/>
        </w:rPr>
        <w:t xml:space="preserve">the </w:t>
      </w:r>
      <w:r>
        <w:rPr>
          <w:rFonts w:ascii="Garamond" w:hAnsi="Garamond"/>
          <w:sz w:val="24"/>
          <w:szCs w:val="24"/>
        </w:rPr>
        <w:t xml:space="preserve">exchanges to grant a single hedge exemption </w:t>
      </w:r>
      <w:r w:rsidR="00715301">
        <w:rPr>
          <w:rFonts w:ascii="Garamond" w:hAnsi="Garamond"/>
          <w:sz w:val="24"/>
          <w:szCs w:val="24"/>
        </w:rPr>
        <w:t>on an annual basis for</w:t>
      </w:r>
      <w:r>
        <w:rPr>
          <w:rFonts w:ascii="Garamond" w:hAnsi="Garamond"/>
          <w:sz w:val="24"/>
          <w:szCs w:val="24"/>
        </w:rPr>
        <w:t xml:space="preserve"> each market participant</w:t>
      </w:r>
      <w:r w:rsidR="00715301">
        <w:rPr>
          <w:rFonts w:ascii="Garamond" w:hAnsi="Garamond"/>
          <w:sz w:val="24"/>
          <w:szCs w:val="24"/>
        </w:rPr>
        <w:t>,</w:t>
      </w:r>
      <w:r>
        <w:rPr>
          <w:rFonts w:ascii="Garamond" w:hAnsi="Garamond"/>
          <w:sz w:val="24"/>
          <w:szCs w:val="24"/>
        </w:rPr>
        <w:t xml:space="preserve"> </w:t>
      </w:r>
      <w:r w:rsidR="00715301">
        <w:rPr>
          <w:rFonts w:ascii="Garamond" w:hAnsi="Garamond"/>
          <w:sz w:val="24"/>
          <w:szCs w:val="24"/>
        </w:rPr>
        <w:t xml:space="preserve">which </w:t>
      </w:r>
      <w:r>
        <w:rPr>
          <w:rFonts w:ascii="Garamond" w:hAnsi="Garamond"/>
          <w:sz w:val="24"/>
          <w:szCs w:val="24"/>
        </w:rPr>
        <w:t>reflects that participants physical market exposures, as well as NEBFH and anticipatory exemptions collectively.  Such a conclusion would also eliminate the need for the additional proposed Form 504 and Form 704 reports</w:t>
      </w:r>
      <w:r w:rsidR="00715301">
        <w:rPr>
          <w:rFonts w:ascii="Garamond" w:hAnsi="Garamond"/>
          <w:sz w:val="24"/>
          <w:szCs w:val="24"/>
        </w:rPr>
        <w:t>,</w:t>
      </w:r>
      <w:r>
        <w:rPr>
          <w:rFonts w:ascii="Garamond" w:hAnsi="Garamond"/>
          <w:sz w:val="24"/>
          <w:szCs w:val="24"/>
        </w:rPr>
        <w:t xml:space="preserve"> and the Commission could continue its reliance on the monthly Form 204 cash position report.</w:t>
      </w:r>
    </w:p>
    <w:p w14:paraId="56AE6751" w14:textId="77777777" w:rsidR="00BC443E" w:rsidRPr="00FD7F67" w:rsidRDefault="00BC443E" w:rsidP="00B875BC">
      <w:pPr>
        <w:rPr>
          <w:rFonts w:ascii="Garamond" w:hAnsi="Garamond"/>
          <w:sz w:val="24"/>
          <w:szCs w:val="24"/>
        </w:rPr>
      </w:pPr>
    </w:p>
    <w:p w14:paraId="53CB7BF6" w14:textId="1D261A98" w:rsidR="0013730C" w:rsidRPr="00222BEB" w:rsidRDefault="007D2879" w:rsidP="00B875BC">
      <w:pPr>
        <w:pStyle w:val="ListParagraph"/>
        <w:numPr>
          <w:ilvl w:val="1"/>
          <w:numId w:val="20"/>
        </w:numPr>
        <w:rPr>
          <w:rFonts w:ascii="Garamond" w:hAnsi="Garamond"/>
          <w:b/>
        </w:rPr>
      </w:pPr>
      <w:r w:rsidRPr="00222BEB">
        <w:rPr>
          <w:rFonts w:ascii="Garamond" w:hAnsi="Garamond"/>
          <w:b/>
        </w:rPr>
        <w:t>Exchange Reporting Requirements</w:t>
      </w:r>
    </w:p>
    <w:p w14:paraId="54FD70D6" w14:textId="7EB62C4B" w:rsidR="00E647D1" w:rsidRDefault="00E647D1" w:rsidP="00B875BC"/>
    <w:p w14:paraId="29E78C58" w14:textId="60B6C2D2" w:rsidR="005C42E6" w:rsidRDefault="00F5455D" w:rsidP="00222BEB">
      <w:pPr>
        <w:pStyle w:val="Default"/>
        <w:ind w:firstLine="720"/>
        <w:jc w:val="both"/>
        <w:rPr>
          <w:rFonts w:ascii="Garamond" w:hAnsi="Garamond" w:cs="Calibri"/>
        </w:rPr>
      </w:pPr>
      <w:r>
        <w:rPr>
          <w:rFonts w:ascii="Garamond" w:hAnsi="Garamond"/>
        </w:rPr>
        <w:t xml:space="preserve">CMC supports </w:t>
      </w:r>
      <w:r w:rsidR="006B32B8">
        <w:rPr>
          <w:rFonts w:ascii="Garamond" w:hAnsi="Garamond"/>
        </w:rPr>
        <w:t>the comment letters submitted by ICE and CME</w:t>
      </w:r>
      <w:r>
        <w:rPr>
          <w:rFonts w:ascii="Garamond" w:hAnsi="Garamond"/>
        </w:rPr>
        <w:t xml:space="preserve"> </w:t>
      </w:r>
      <w:r w:rsidR="0056586F">
        <w:rPr>
          <w:rFonts w:ascii="Garamond" w:hAnsi="Garamond"/>
        </w:rPr>
        <w:t>recommending a</w:t>
      </w:r>
      <w:r w:rsidR="0041797A">
        <w:rPr>
          <w:rFonts w:ascii="Garamond" w:hAnsi="Garamond"/>
        </w:rPr>
        <w:t xml:space="preserve"> streamlined reporting r</w:t>
      </w:r>
      <w:r w:rsidR="0056586F">
        <w:rPr>
          <w:rFonts w:ascii="Garamond" w:hAnsi="Garamond"/>
        </w:rPr>
        <w:t>egime</w:t>
      </w:r>
      <w:r w:rsidR="0041797A">
        <w:rPr>
          <w:rFonts w:ascii="Garamond" w:hAnsi="Garamond"/>
        </w:rPr>
        <w:t xml:space="preserve"> and </w:t>
      </w:r>
      <w:r w:rsidR="0056586F">
        <w:rPr>
          <w:rFonts w:ascii="Garamond" w:hAnsi="Garamond"/>
        </w:rPr>
        <w:t>authorizing</w:t>
      </w:r>
      <w:r w:rsidR="0041797A">
        <w:rPr>
          <w:rFonts w:ascii="Garamond" w:hAnsi="Garamond"/>
        </w:rPr>
        <w:t xml:space="preserve"> the exchanges to request additional inform</w:t>
      </w:r>
      <w:r w:rsidR="0056586F">
        <w:rPr>
          <w:rFonts w:ascii="Garamond" w:hAnsi="Garamond"/>
        </w:rPr>
        <w:t xml:space="preserve">ation from a market </w:t>
      </w:r>
      <w:proofErr w:type="gramStart"/>
      <w:r w:rsidR="0056586F">
        <w:rPr>
          <w:rFonts w:ascii="Garamond" w:hAnsi="Garamond"/>
        </w:rPr>
        <w:t>participant</w:t>
      </w:r>
      <w:proofErr w:type="gramEnd"/>
      <w:r w:rsidR="0041797A">
        <w:rPr>
          <w:rFonts w:ascii="Garamond" w:hAnsi="Garamond"/>
        </w:rPr>
        <w:t xml:space="preserve"> as they deem necessary</w:t>
      </w:r>
      <w:r>
        <w:rPr>
          <w:rFonts w:ascii="Garamond" w:hAnsi="Garamond"/>
        </w:rPr>
        <w:t>.</w:t>
      </w:r>
      <w:r>
        <w:rPr>
          <w:rStyle w:val="FootnoteReference"/>
          <w:rFonts w:ascii="Garamond" w:hAnsi="Garamond"/>
        </w:rPr>
        <w:footnoteReference w:id="30"/>
      </w:r>
      <w:r w:rsidR="0041797A">
        <w:rPr>
          <w:rFonts w:ascii="Garamond" w:hAnsi="Garamond"/>
        </w:rPr>
        <w:t xml:space="preserve">  </w:t>
      </w:r>
      <w:r w:rsidR="006E62B0">
        <w:rPr>
          <w:rFonts w:ascii="Garamond" w:hAnsi="Garamond"/>
        </w:rPr>
        <w:t>Presently, e</w:t>
      </w:r>
      <w:r w:rsidR="00C530B0">
        <w:rPr>
          <w:rFonts w:ascii="Garamond" w:hAnsi="Garamond"/>
        </w:rPr>
        <w:t xml:space="preserve">xchanges collect </w:t>
      </w:r>
      <w:r w:rsidR="00670BE3">
        <w:rPr>
          <w:rFonts w:ascii="Garamond" w:hAnsi="Garamond"/>
        </w:rPr>
        <w:t xml:space="preserve">the </w:t>
      </w:r>
      <w:r w:rsidR="00C530B0">
        <w:rPr>
          <w:rFonts w:ascii="Garamond" w:hAnsi="Garamond"/>
        </w:rPr>
        <w:t xml:space="preserve">detailed information </w:t>
      </w:r>
      <w:r w:rsidR="006E62B0">
        <w:rPr>
          <w:rFonts w:ascii="Garamond" w:hAnsi="Garamond"/>
        </w:rPr>
        <w:t xml:space="preserve">necessary </w:t>
      </w:r>
      <w:r w:rsidR="00C37DBA">
        <w:rPr>
          <w:rFonts w:ascii="Garamond" w:hAnsi="Garamond"/>
        </w:rPr>
        <w:t>from</w:t>
      </w:r>
      <w:r w:rsidR="00C530B0">
        <w:rPr>
          <w:rFonts w:ascii="Garamond" w:hAnsi="Garamond"/>
        </w:rPr>
        <w:t xml:space="preserve"> each market participant</w:t>
      </w:r>
      <w:r w:rsidR="006E62B0">
        <w:rPr>
          <w:rFonts w:ascii="Garamond" w:hAnsi="Garamond"/>
        </w:rPr>
        <w:t xml:space="preserve"> to make an informed decision about an exemption request.  Instead of prescribing specific data points</w:t>
      </w:r>
      <w:r w:rsidR="00EC1570">
        <w:rPr>
          <w:rFonts w:ascii="Garamond" w:hAnsi="Garamond"/>
        </w:rPr>
        <w:t xml:space="preserve"> </w:t>
      </w:r>
      <w:r w:rsidR="00C37DBA">
        <w:rPr>
          <w:rFonts w:ascii="Garamond" w:hAnsi="Garamond"/>
        </w:rPr>
        <w:t>as the Supplemental Proposal suggests</w:t>
      </w:r>
      <w:r w:rsidR="006E62B0">
        <w:rPr>
          <w:rFonts w:ascii="Garamond" w:hAnsi="Garamond"/>
        </w:rPr>
        <w:t xml:space="preserve">, the Commission should allow the exchanges to continue its current information gathering process and </w:t>
      </w:r>
      <w:r w:rsidR="00EC1570">
        <w:rPr>
          <w:rFonts w:ascii="Garamond" w:hAnsi="Garamond"/>
        </w:rPr>
        <w:t xml:space="preserve">its </w:t>
      </w:r>
      <w:r w:rsidR="006E62B0">
        <w:rPr>
          <w:rFonts w:ascii="Garamond" w:hAnsi="Garamond"/>
        </w:rPr>
        <w:t>market surveillance of applicants.</w:t>
      </w:r>
      <w:r w:rsidR="0056586F">
        <w:rPr>
          <w:rFonts w:ascii="Garamond" w:hAnsi="Garamond"/>
        </w:rPr>
        <w:t xml:space="preserve">  As for reports submitted by the exchange to the Commission, the final position limits rule should </w:t>
      </w:r>
      <w:r w:rsidR="00DC50C2">
        <w:rPr>
          <w:rFonts w:ascii="Garamond" w:hAnsi="Garamond"/>
        </w:rPr>
        <w:t xml:space="preserve">only require </w:t>
      </w:r>
      <w:r w:rsidR="00222BEB">
        <w:rPr>
          <w:rFonts w:ascii="Garamond" w:hAnsi="Garamond"/>
        </w:rPr>
        <w:t>(</w:t>
      </w:r>
      <w:proofErr w:type="spellStart"/>
      <w:r w:rsidR="00DC50C2">
        <w:rPr>
          <w:rFonts w:ascii="Garamond" w:hAnsi="Garamond"/>
        </w:rPr>
        <w:t>i</w:t>
      </w:r>
      <w:proofErr w:type="spellEnd"/>
      <w:r w:rsidR="00DC50C2">
        <w:rPr>
          <w:rFonts w:ascii="Garamond" w:hAnsi="Garamond"/>
        </w:rPr>
        <w:t xml:space="preserve">) a weekly report for new NEBFH, spread, and anticipatory </w:t>
      </w:r>
      <w:r w:rsidR="00DC50C2">
        <w:rPr>
          <w:rFonts w:ascii="Garamond" w:hAnsi="Garamond"/>
        </w:rPr>
        <w:lastRenderedPageBreak/>
        <w:t>exchange granted exemptions,</w:t>
      </w:r>
      <w:r w:rsidR="00A24292">
        <w:rPr>
          <w:rStyle w:val="FootnoteReference"/>
          <w:rFonts w:ascii="Garamond" w:hAnsi="Garamond"/>
        </w:rPr>
        <w:footnoteReference w:id="31"/>
      </w:r>
      <w:r w:rsidR="00DC50C2">
        <w:rPr>
          <w:rFonts w:ascii="Garamond" w:hAnsi="Garamond"/>
        </w:rPr>
        <w:t xml:space="preserve"> and </w:t>
      </w:r>
      <w:r w:rsidR="00222BEB" w:rsidRPr="00BE0FFA">
        <w:rPr>
          <w:rFonts w:ascii="Garamond" w:hAnsi="Garamond"/>
        </w:rPr>
        <w:t>(</w:t>
      </w:r>
      <w:r w:rsidR="00DC50C2" w:rsidRPr="00BE0FFA">
        <w:rPr>
          <w:rFonts w:ascii="Garamond" w:hAnsi="Garamond"/>
        </w:rPr>
        <w:t>ii) a monthly report for all other</w:t>
      </w:r>
      <w:bookmarkStart w:id="0" w:name="_GoBack"/>
      <w:bookmarkEnd w:id="0"/>
      <w:r w:rsidR="00DC50C2">
        <w:rPr>
          <w:rFonts w:ascii="Garamond" w:hAnsi="Garamond"/>
        </w:rPr>
        <w:t xml:space="preserve"> reporting requirements. </w:t>
      </w:r>
      <w:r w:rsidR="0056586F">
        <w:rPr>
          <w:rFonts w:ascii="Garamond" w:hAnsi="Garamond"/>
        </w:rPr>
        <w:t xml:space="preserve"> </w:t>
      </w:r>
      <w:r w:rsidR="006E62B0">
        <w:rPr>
          <w:rFonts w:ascii="Garamond" w:hAnsi="Garamond"/>
        </w:rPr>
        <w:t xml:space="preserve"> </w:t>
      </w:r>
      <w:r w:rsidR="00E567AB">
        <w:rPr>
          <w:rFonts w:ascii="Garamond" w:hAnsi="Garamond"/>
        </w:rPr>
        <w:t xml:space="preserve"> </w:t>
      </w:r>
      <w:r w:rsidR="0056586F">
        <w:rPr>
          <w:rFonts w:ascii="Garamond" w:hAnsi="Garamond"/>
        </w:rPr>
        <w:t xml:space="preserve"> </w:t>
      </w:r>
    </w:p>
    <w:p w14:paraId="3893A94E" w14:textId="77777777" w:rsidR="005F7A5E" w:rsidRDefault="005F7A5E" w:rsidP="005C42E6">
      <w:pPr>
        <w:pStyle w:val="Default"/>
        <w:jc w:val="both"/>
        <w:rPr>
          <w:rFonts w:ascii="Garamond" w:hAnsi="Garamond" w:cs="Calibri"/>
        </w:rPr>
      </w:pPr>
    </w:p>
    <w:p w14:paraId="6F554F01" w14:textId="5E5CE381" w:rsidR="000133A9" w:rsidRDefault="00BB2CF8" w:rsidP="00222BEB">
      <w:pPr>
        <w:pStyle w:val="Default"/>
        <w:ind w:firstLine="720"/>
        <w:jc w:val="both"/>
        <w:rPr>
          <w:rFonts w:ascii="Garamond" w:hAnsi="Garamond" w:cs="Calibri"/>
        </w:rPr>
      </w:pPr>
      <w:r>
        <w:rPr>
          <w:rFonts w:ascii="Garamond" w:hAnsi="Garamond" w:cs="Calibri"/>
        </w:rPr>
        <w:t>Additionally, t</w:t>
      </w:r>
      <w:r w:rsidR="005F7A5E">
        <w:rPr>
          <w:rFonts w:ascii="Garamond" w:hAnsi="Garamond" w:cs="Calibri"/>
        </w:rPr>
        <w:t>he Commission should clarify that all of the detailed exemption procedures from the Supplemental Proposal are applicable if, and to the extent that, the exchange granted exemption exceeds federally established speculative position limits and not otherwise.</w:t>
      </w:r>
      <w:r w:rsidR="005F7A5E">
        <w:rPr>
          <w:rStyle w:val="FootnoteReference"/>
          <w:rFonts w:ascii="Garamond" w:hAnsi="Garamond" w:cs="Calibri"/>
        </w:rPr>
        <w:footnoteReference w:id="32"/>
      </w:r>
      <w:r w:rsidR="005F7A5E">
        <w:rPr>
          <w:rFonts w:ascii="Garamond" w:hAnsi="Garamond" w:cs="Calibri"/>
        </w:rPr>
        <w:t xml:space="preserve">   Depending on where federal limits are set, it is possible that an exchange-set speculative position limit will be lower than the federal limit for particular contracts.  Likewise, the Commission should clarify that the detailed procedures for granting exemptions with respect to spread and anticipatory hedges are not applicable to exchange granted exemptions below the federal levels.</w:t>
      </w:r>
      <w:r w:rsidR="000133A9">
        <w:rPr>
          <w:rStyle w:val="FootnoteReference"/>
          <w:rFonts w:ascii="Garamond" w:hAnsi="Garamond" w:cs="Calibri"/>
        </w:rPr>
        <w:footnoteReference w:id="33"/>
      </w:r>
      <w:r w:rsidR="005F7A5E">
        <w:rPr>
          <w:rFonts w:ascii="Garamond" w:hAnsi="Garamond" w:cs="Calibri"/>
        </w:rPr>
        <w:t xml:space="preserve"> </w:t>
      </w:r>
      <w:r w:rsidR="000133A9">
        <w:rPr>
          <w:rFonts w:ascii="Garamond" w:hAnsi="Garamond" w:cs="Calibri"/>
        </w:rPr>
        <w:t xml:space="preserve"> These procedures are unnecessary for excluded commodities and other products that are not subject to federal limits.</w:t>
      </w:r>
      <w:r w:rsidR="005F7A5E">
        <w:rPr>
          <w:rFonts w:ascii="Garamond" w:hAnsi="Garamond" w:cs="Calibri"/>
        </w:rPr>
        <w:t xml:space="preserve"> </w:t>
      </w:r>
      <w:r w:rsidR="000133A9">
        <w:rPr>
          <w:rFonts w:ascii="Garamond" w:hAnsi="Garamond" w:cs="Calibri"/>
        </w:rPr>
        <w:t xml:space="preserve"> </w:t>
      </w:r>
      <w:r w:rsidR="005F7A5E">
        <w:rPr>
          <w:rFonts w:ascii="Garamond" w:hAnsi="Garamond" w:cs="Calibri"/>
        </w:rPr>
        <w:t>Current exchange exemption programs have been operating successfully without the need for such prescriptive rules</w:t>
      </w:r>
      <w:r w:rsidR="000133A9">
        <w:rPr>
          <w:rFonts w:ascii="Garamond" w:hAnsi="Garamond" w:cs="Calibri"/>
        </w:rPr>
        <w:t xml:space="preserve"> with regard to the content of exemption applications and the facts and circumstances for which they may be granted.  </w:t>
      </w:r>
      <w:r w:rsidR="00D03674">
        <w:rPr>
          <w:rFonts w:ascii="Garamond" w:hAnsi="Garamond" w:cs="Calibri"/>
        </w:rPr>
        <w:t>Thus</w:t>
      </w:r>
      <w:r w:rsidR="000133A9">
        <w:rPr>
          <w:rFonts w:ascii="Garamond" w:hAnsi="Garamond" w:cs="Calibri"/>
        </w:rPr>
        <w:t xml:space="preserve">, the </w:t>
      </w:r>
      <w:r w:rsidR="000133A9" w:rsidRPr="007A63FB">
        <w:rPr>
          <w:rFonts w:ascii="Garamond" w:hAnsi="Garamond" w:cs="Calibri"/>
        </w:rPr>
        <w:t xml:space="preserve">Commission should </w:t>
      </w:r>
      <w:r w:rsidR="007221F4">
        <w:rPr>
          <w:rFonts w:ascii="Garamond" w:hAnsi="Garamond" w:cs="Calibri"/>
        </w:rPr>
        <w:t>remove</w:t>
      </w:r>
      <w:r w:rsidR="007221F4" w:rsidRPr="007A63FB">
        <w:rPr>
          <w:rFonts w:ascii="Garamond" w:hAnsi="Garamond" w:cs="Calibri"/>
        </w:rPr>
        <w:t xml:space="preserve"> </w:t>
      </w:r>
      <w:r w:rsidR="000133A9" w:rsidRPr="007A63FB">
        <w:rPr>
          <w:rFonts w:ascii="Garamond" w:hAnsi="Garamond" w:cs="Calibri"/>
        </w:rPr>
        <w:t>the requirements of Section 150.5(b)</w:t>
      </w:r>
      <w:r w:rsidR="000133A9">
        <w:rPr>
          <w:rFonts w:ascii="Garamond" w:hAnsi="Garamond" w:cs="Calibri"/>
        </w:rPr>
        <w:t>,</w:t>
      </w:r>
      <w:r w:rsidR="000133A9" w:rsidRPr="007A63FB">
        <w:rPr>
          <w:rFonts w:ascii="Garamond" w:hAnsi="Garamond" w:cs="Calibri"/>
        </w:rPr>
        <w:t xml:space="preserve"> which apply the exemption procedures of Section 150.9 to exemptions granted for contracts in excluded commodities and physical commodities that are not subject to federal position limits.</w:t>
      </w:r>
    </w:p>
    <w:p w14:paraId="40287C6E" w14:textId="77777777" w:rsidR="00A37183" w:rsidRDefault="00A37183" w:rsidP="005C42E6">
      <w:pPr>
        <w:pStyle w:val="Default"/>
        <w:jc w:val="both"/>
        <w:rPr>
          <w:rFonts w:ascii="Garamond" w:hAnsi="Garamond" w:cs="Calibri"/>
        </w:rPr>
      </w:pPr>
    </w:p>
    <w:p w14:paraId="531332D3" w14:textId="3BB0563E" w:rsidR="0013730C" w:rsidRPr="006C1C02" w:rsidRDefault="007A05F3" w:rsidP="006C1C02">
      <w:pPr>
        <w:pStyle w:val="ListParagraph"/>
        <w:numPr>
          <w:ilvl w:val="1"/>
          <w:numId w:val="20"/>
        </w:numPr>
        <w:jc w:val="both"/>
        <w:rPr>
          <w:rFonts w:ascii="Garamond" w:hAnsi="Garamond"/>
          <w:b/>
        </w:rPr>
      </w:pPr>
      <w:r>
        <w:rPr>
          <w:rFonts w:ascii="Garamond" w:hAnsi="Garamond"/>
          <w:b/>
        </w:rPr>
        <w:t>Commission Review of Exchange Granted Exemptions</w:t>
      </w:r>
    </w:p>
    <w:p w14:paraId="2291BB25" w14:textId="77777777" w:rsidR="0013730C" w:rsidRPr="006C1C02" w:rsidRDefault="0013730C" w:rsidP="006C1C02">
      <w:pPr>
        <w:ind w:left="1080"/>
        <w:jc w:val="both"/>
        <w:rPr>
          <w:rFonts w:ascii="Garamond" w:hAnsi="Garamond"/>
          <w:b/>
        </w:rPr>
      </w:pPr>
    </w:p>
    <w:p w14:paraId="3BBB65FA" w14:textId="58B75CCB" w:rsidR="00A37183" w:rsidRDefault="00DE3A5B" w:rsidP="00222BEB">
      <w:pPr>
        <w:ind w:firstLine="720"/>
        <w:jc w:val="both"/>
        <w:rPr>
          <w:rFonts w:ascii="Garamond" w:hAnsi="Garamond" w:cs="Calibri Bold Italic"/>
          <w:sz w:val="24"/>
          <w:szCs w:val="24"/>
        </w:rPr>
      </w:pPr>
      <w:r>
        <w:rPr>
          <w:rFonts w:ascii="Garamond" w:hAnsi="Garamond"/>
          <w:sz w:val="24"/>
          <w:szCs w:val="24"/>
        </w:rPr>
        <w:t>Rather than provid</w:t>
      </w:r>
      <w:r w:rsidR="00906650">
        <w:rPr>
          <w:rFonts w:ascii="Garamond" w:hAnsi="Garamond"/>
          <w:sz w:val="24"/>
          <w:szCs w:val="24"/>
        </w:rPr>
        <w:t>ing</w:t>
      </w:r>
      <w:r>
        <w:rPr>
          <w:rFonts w:ascii="Garamond" w:hAnsi="Garamond"/>
          <w:sz w:val="24"/>
          <w:szCs w:val="24"/>
        </w:rPr>
        <w:t xml:space="preserve"> </w:t>
      </w:r>
      <w:r w:rsidR="0081165B">
        <w:rPr>
          <w:rFonts w:ascii="Garamond" w:hAnsi="Garamond"/>
          <w:sz w:val="24"/>
          <w:szCs w:val="24"/>
        </w:rPr>
        <w:t>the Commission with the</w:t>
      </w:r>
      <w:r w:rsidR="00CE0591">
        <w:rPr>
          <w:rFonts w:ascii="Garamond" w:hAnsi="Garamond"/>
          <w:sz w:val="24"/>
          <w:szCs w:val="24"/>
        </w:rPr>
        <w:t xml:space="preserve"> authority to review each </w:t>
      </w:r>
      <w:r w:rsidR="00906650">
        <w:rPr>
          <w:rFonts w:ascii="Garamond" w:hAnsi="Garamond"/>
          <w:sz w:val="24"/>
          <w:szCs w:val="24"/>
        </w:rPr>
        <w:t xml:space="preserve">exchange granted </w:t>
      </w:r>
      <w:r w:rsidR="00CE0591">
        <w:rPr>
          <w:rFonts w:ascii="Garamond" w:hAnsi="Garamond"/>
          <w:sz w:val="24"/>
          <w:szCs w:val="24"/>
        </w:rPr>
        <w:t>exemption via an</w:t>
      </w:r>
      <w:r>
        <w:rPr>
          <w:rFonts w:ascii="Garamond" w:hAnsi="Garamond"/>
          <w:sz w:val="24"/>
          <w:szCs w:val="24"/>
        </w:rPr>
        <w:t xml:space="preserve"> exemption-by-exemption </w:t>
      </w:r>
      <w:r w:rsidR="00CE0591">
        <w:rPr>
          <w:rFonts w:ascii="Garamond" w:hAnsi="Garamond"/>
          <w:sz w:val="24"/>
          <w:szCs w:val="24"/>
        </w:rPr>
        <w:t>process</w:t>
      </w:r>
      <w:r w:rsidR="0081165B">
        <w:rPr>
          <w:rFonts w:ascii="Garamond" w:hAnsi="Garamond"/>
          <w:sz w:val="24"/>
          <w:szCs w:val="24"/>
        </w:rPr>
        <w:t>,</w:t>
      </w:r>
      <w:r w:rsidR="00CE0591">
        <w:rPr>
          <w:rStyle w:val="FootnoteReference"/>
          <w:rFonts w:ascii="Garamond" w:hAnsi="Garamond"/>
          <w:sz w:val="24"/>
          <w:szCs w:val="24"/>
        </w:rPr>
        <w:footnoteReference w:id="34"/>
      </w:r>
      <w:r>
        <w:rPr>
          <w:rFonts w:ascii="Garamond" w:hAnsi="Garamond"/>
          <w:sz w:val="24"/>
          <w:szCs w:val="24"/>
        </w:rPr>
        <w:t xml:space="preserve"> the Commission should continue the current practice of overseeing </w:t>
      </w:r>
      <w:r w:rsidR="00906650">
        <w:rPr>
          <w:rFonts w:ascii="Garamond" w:hAnsi="Garamond"/>
          <w:sz w:val="24"/>
          <w:szCs w:val="24"/>
        </w:rPr>
        <w:t>these</w:t>
      </w:r>
      <w:r>
        <w:rPr>
          <w:rFonts w:ascii="Garamond" w:hAnsi="Garamond"/>
          <w:sz w:val="24"/>
          <w:szCs w:val="24"/>
        </w:rPr>
        <w:t xml:space="preserve"> exemptions through rule enforcement reviews. </w:t>
      </w:r>
      <w:r w:rsidR="00794F80">
        <w:rPr>
          <w:rFonts w:ascii="Garamond" w:hAnsi="Garamond"/>
          <w:sz w:val="24"/>
          <w:szCs w:val="24"/>
        </w:rPr>
        <w:t xml:space="preserve"> </w:t>
      </w:r>
      <w:r w:rsidR="002E1BEA">
        <w:rPr>
          <w:rFonts w:ascii="Garamond" w:hAnsi="Garamond"/>
          <w:sz w:val="24"/>
          <w:szCs w:val="24"/>
        </w:rPr>
        <w:t>Adopting the exemption-by-exemption review process as proposed could be dilatory and deprive market participants of timely and effective risk management, leaving them exposed to price and market volatility.  In turn, maintaining the rule enforcement review process will leverage the expertise of the exchanges, conserve Commission resources, and provide market participants with an added layer of regulatory certainty</w:t>
      </w:r>
      <w:r w:rsidR="00514B42">
        <w:rPr>
          <w:rFonts w:ascii="Garamond" w:hAnsi="Garamond"/>
          <w:sz w:val="24"/>
          <w:szCs w:val="24"/>
        </w:rPr>
        <w:t xml:space="preserve">.  </w:t>
      </w:r>
      <w:r w:rsidR="00976201">
        <w:rPr>
          <w:rFonts w:ascii="Garamond" w:hAnsi="Garamond"/>
          <w:sz w:val="24"/>
          <w:szCs w:val="24"/>
        </w:rPr>
        <w:t>Moreover</w:t>
      </w:r>
      <w:r w:rsidR="00FD4A80">
        <w:rPr>
          <w:rFonts w:ascii="Garamond" w:hAnsi="Garamond"/>
          <w:sz w:val="24"/>
          <w:szCs w:val="24"/>
        </w:rPr>
        <w:t xml:space="preserve">, </w:t>
      </w:r>
      <w:r w:rsidR="00514B42">
        <w:rPr>
          <w:rFonts w:ascii="Garamond" w:hAnsi="Garamond"/>
          <w:sz w:val="24"/>
          <w:szCs w:val="24"/>
        </w:rPr>
        <w:t>the Commission should limit the time period for overturning an exchanged granted exemption</w:t>
      </w:r>
      <w:r w:rsidR="00CE0591">
        <w:rPr>
          <w:rFonts w:ascii="Garamond" w:hAnsi="Garamond"/>
          <w:sz w:val="24"/>
          <w:szCs w:val="24"/>
        </w:rPr>
        <w:t>.</w:t>
      </w:r>
      <w:r w:rsidR="00CE0591">
        <w:rPr>
          <w:rStyle w:val="FootnoteReference"/>
          <w:rFonts w:ascii="Garamond" w:hAnsi="Garamond"/>
          <w:sz w:val="24"/>
          <w:szCs w:val="24"/>
        </w:rPr>
        <w:footnoteReference w:id="35"/>
      </w:r>
    </w:p>
    <w:p w14:paraId="10B3A4D5" w14:textId="77777777" w:rsidR="00A37183" w:rsidRPr="002D2194" w:rsidRDefault="00A37183" w:rsidP="002D2194">
      <w:pPr>
        <w:jc w:val="both"/>
        <w:rPr>
          <w:rFonts w:ascii="Garamond" w:hAnsi="Garamond"/>
        </w:rPr>
      </w:pPr>
    </w:p>
    <w:p w14:paraId="5457BAEC" w14:textId="77777777" w:rsidR="00C51CE8" w:rsidRPr="00F04B94" w:rsidRDefault="00C51CE8" w:rsidP="00F04B94">
      <w:pPr>
        <w:pStyle w:val="ListParagraph"/>
        <w:numPr>
          <w:ilvl w:val="0"/>
          <w:numId w:val="20"/>
        </w:numPr>
        <w:rPr>
          <w:rFonts w:ascii="Garamond" w:hAnsi="Garamond"/>
          <w:b/>
        </w:rPr>
      </w:pPr>
      <w:r w:rsidRPr="00F04B94">
        <w:rPr>
          <w:rFonts w:ascii="Garamond" w:hAnsi="Garamond"/>
          <w:b/>
        </w:rPr>
        <w:t>Conclusion</w:t>
      </w:r>
    </w:p>
    <w:p w14:paraId="4745E007" w14:textId="77777777" w:rsidR="001F654A" w:rsidRDefault="001F654A" w:rsidP="001F654A">
      <w:pPr>
        <w:pStyle w:val="NormalWeb"/>
        <w:spacing w:before="0" w:beforeAutospacing="0" w:after="120" w:afterAutospacing="0" w:line="276" w:lineRule="auto"/>
        <w:contextualSpacing/>
        <w:jc w:val="both"/>
        <w:rPr>
          <w:rFonts w:ascii="Garamond" w:eastAsia="Times New Roman" w:hAnsi="Garamond"/>
          <w:sz w:val="24"/>
          <w:szCs w:val="24"/>
        </w:rPr>
      </w:pPr>
    </w:p>
    <w:p w14:paraId="4D49C10B" w14:textId="40DEB7C4" w:rsidR="00FF0AE9" w:rsidRDefault="001F654A" w:rsidP="00A24292">
      <w:pPr>
        <w:pStyle w:val="NormalWeb"/>
        <w:spacing w:before="0" w:beforeAutospacing="0" w:after="120" w:afterAutospacing="0" w:line="276" w:lineRule="auto"/>
        <w:ind w:firstLine="720"/>
        <w:contextualSpacing/>
        <w:jc w:val="both"/>
        <w:rPr>
          <w:rFonts w:ascii="Garamond" w:eastAsia="Times New Roman" w:hAnsi="Garamond"/>
          <w:sz w:val="24"/>
          <w:szCs w:val="24"/>
        </w:rPr>
      </w:pPr>
      <w:r w:rsidRPr="001F654A">
        <w:rPr>
          <w:rFonts w:ascii="Garamond" w:eastAsia="Times New Roman" w:hAnsi="Garamond"/>
          <w:sz w:val="24"/>
          <w:szCs w:val="24"/>
        </w:rPr>
        <w:t>CMC recognizes the Commission’s crucial oversight that fosters transparent, open, competitive</w:t>
      </w:r>
      <w:r w:rsidR="00AA59B9">
        <w:rPr>
          <w:rFonts w:ascii="Garamond" w:eastAsia="Times New Roman" w:hAnsi="Garamond"/>
          <w:sz w:val="24"/>
          <w:szCs w:val="24"/>
        </w:rPr>
        <w:t>,</w:t>
      </w:r>
      <w:r w:rsidRPr="001F654A">
        <w:rPr>
          <w:rFonts w:ascii="Garamond" w:eastAsia="Times New Roman" w:hAnsi="Garamond"/>
          <w:sz w:val="24"/>
          <w:szCs w:val="24"/>
        </w:rPr>
        <w:t xml:space="preserve"> and financially sound commodity markets, and reminds the Commission that the commodity markets did not cause the 2008 financial crisis.  In adopting a final rule for federal position limits, CMC urges the Commission to continue to be mindful of its role in protecting the longstanding and cru</w:t>
      </w:r>
      <w:r w:rsidR="00AA59B9">
        <w:rPr>
          <w:rFonts w:ascii="Garamond" w:eastAsia="Times New Roman" w:hAnsi="Garamond"/>
          <w:sz w:val="24"/>
          <w:szCs w:val="24"/>
        </w:rPr>
        <w:t>cial ability of commercial end-</w:t>
      </w:r>
      <w:r w:rsidRPr="001F654A">
        <w:rPr>
          <w:rFonts w:ascii="Garamond" w:eastAsia="Times New Roman" w:hAnsi="Garamond"/>
          <w:sz w:val="24"/>
          <w:szCs w:val="24"/>
        </w:rPr>
        <w:t>users to utilize commodity derivatives markets to manage risk.  If the Commission fails to act upon the recommendations included within this letter to preserve the crucial risk management function of the commodity markets, the Commission will cause harm to commercial participants and end-users of these markets through loss of market liquidity and reduc</w:t>
      </w:r>
      <w:r w:rsidR="007221F4">
        <w:rPr>
          <w:rFonts w:ascii="Garamond" w:eastAsia="Times New Roman" w:hAnsi="Garamond"/>
          <w:sz w:val="24"/>
          <w:szCs w:val="24"/>
        </w:rPr>
        <w:t>ed</w:t>
      </w:r>
      <w:r w:rsidRPr="001F654A">
        <w:rPr>
          <w:rFonts w:ascii="Garamond" w:eastAsia="Times New Roman" w:hAnsi="Garamond"/>
          <w:sz w:val="24"/>
          <w:szCs w:val="24"/>
        </w:rPr>
        <w:t xml:space="preserve"> convergence.  This would further serve to increase prices to consumers and </w:t>
      </w:r>
      <w:r w:rsidRPr="001F654A">
        <w:rPr>
          <w:rFonts w:ascii="Garamond" w:eastAsia="Times New Roman" w:hAnsi="Garamond"/>
          <w:sz w:val="24"/>
          <w:szCs w:val="24"/>
        </w:rPr>
        <w:lastRenderedPageBreak/>
        <w:t xml:space="preserve">decrease prices to producers – </w:t>
      </w:r>
      <w:r w:rsidR="007221F4" w:rsidRPr="001F654A">
        <w:rPr>
          <w:rFonts w:ascii="Garamond" w:eastAsia="Times New Roman" w:hAnsi="Garamond"/>
          <w:sz w:val="24"/>
          <w:szCs w:val="24"/>
        </w:rPr>
        <w:t>harming</w:t>
      </w:r>
      <w:r w:rsidRPr="001F654A">
        <w:rPr>
          <w:rFonts w:ascii="Garamond" w:eastAsia="Times New Roman" w:hAnsi="Garamond"/>
          <w:sz w:val="24"/>
          <w:szCs w:val="24"/>
        </w:rPr>
        <w:t xml:space="preserve"> the American public and the farmers, ranchers, and others who produce commodities. </w:t>
      </w:r>
    </w:p>
    <w:p w14:paraId="35B0E66F" w14:textId="77777777" w:rsidR="00FF0AE9" w:rsidRDefault="00FF0AE9" w:rsidP="00FF0AE9">
      <w:pPr>
        <w:pStyle w:val="NormalWeb"/>
        <w:spacing w:before="0" w:beforeAutospacing="0" w:after="120" w:afterAutospacing="0" w:line="276" w:lineRule="auto"/>
        <w:contextualSpacing/>
        <w:jc w:val="both"/>
        <w:rPr>
          <w:rFonts w:ascii="Garamond" w:eastAsia="Times New Roman" w:hAnsi="Garamond"/>
          <w:sz w:val="24"/>
          <w:szCs w:val="24"/>
        </w:rPr>
      </w:pPr>
    </w:p>
    <w:p w14:paraId="6734BBE0" w14:textId="217F8F80" w:rsidR="003E4A41" w:rsidRPr="00FF0AE9" w:rsidRDefault="00E42692" w:rsidP="004709E4">
      <w:pPr>
        <w:pStyle w:val="NormalWeb"/>
        <w:spacing w:before="0" w:beforeAutospacing="0" w:after="120" w:afterAutospacing="0" w:line="276" w:lineRule="auto"/>
        <w:ind w:firstLine="720"/>
        <w:contextualSpacing/>
        <w:jc w:val="both"/>
        <w:rPr>
          <w:rFonts w:ascii="Garamond" w:eastAsia="Times New Roman" w:hAnsi="Garamond"/>
          <w:sz w:val="24"/>
          <w:szCs w:val="24"/>
        </w:rPr>
      </w:pPr>
      <w:r w:rsidRPr="00901C48">
        <w:rPr>
          <w:rFonts w:ascii="Garamond" w:hAnsi="Garamond"/>
          <w:sz w:val="24"/>
          <w:szCs w:val="24"/>
        </w:rPr>
        <w:t xml:space="preserve">Thank you for the opportunity to provide comments on the commercial impacts of </w:t>
      </w:r>
      <w:r w:rsidR="0006475F" w:rsidRPr="00901C48">
        <w:rPr>
          <w:rFonts w:ascii="Garamond" w:hAnsi="Garamond"/>
          <w:sz w:val="24"/>
          <w:szCs w:val="24"/>
        </w:rPr>
        <w:t>the changes proposed to the 2013 Position Limits for Derivatives rulemaking</w:t>
      </w:r>
      <w:r w:rsidRPr="00901C48">
        <w:rPr>
          <w:rFonts w:ascii="Garamond" w:hAnsi="Garamond"/>
          <w:sz w:val="24"/>
          <w:szCs w:val="24"/>
        </w:rPr>
        <w:t xml:space="preserve">.  If you have any questions or concerns regarding this letter, please do not hesitate to contact Kevin Batteh at </w:t>
      </w:r>
      <w:hyperlink r:id="rId9" w:history="1">
        <w:r w:rsidR="0006475F" w:rsidRPr="00901C48">
          <w:rPr>
            <w:rStyle w:val="Hyperlink"/>
            <w:rFonts w:ascii="Garamond" w:hAnsi="Garamond"/>
            <w:sz w:val="24"/>
            <w:szCs w:val="24"/>
          </w:rPr>
          <w:t>Kevin.Batteh@Commoditymkts.org</w:t>
        </w:r>
      </w:hyperlink>
      <w:r w:rsidR="0006475F" w:rsidRPr="00901C48">
        <w:rPr>
          <w:rFonts w:ascii="Garamond" w:hAnsi="Garamond"/>
          <w:sz w:val="24"/>
          <w:szCs w:val="24"/>
        </w:rPr>
        <w:t xml:space="preserve">. </w:t>
      </w:r>
    </w:p>
    <w:p w14:paraId="6D18606E" w14:textId="77777777" w:rsidR="003E4A41" w:rsidRPr="00901C48" w:rsidRDefault="003E4A41">
      <w:pPr>
        <w:pStyle w:val="Default"/>
        <w:rPr>
          <w:rFonts w:ascii="Garamond" w:hAnsi="Garamond" w:cs="Times New Roman"/>
          <w:color w:val="auto"/>
        </w:rPr>
      </w:pPr>
    </w:p>
    <w:p w14:paraId="5B3856EB" w14:textId="77777777" w:rsidR="003E4A41" w:rsidRPr="00901C48" w:rsidRDefault="003E4A41">
      <w:pPr>
        <w:pStyle w:val="Default"/>
        <w:rPr>
          <w:rFonts w:ascii="Garamond" w:hAnsi="Garamond" w:cs="Times New Roman"/>
          <w:color w:val="auto"/>
        </w:rPr>
      </w:pPr>
    </w:p>
    <w:p w14:paraId="1B6B520F" w14:textId="77777777" w:rsidR="003E4A41" w:rsidRPr="00901C48" w:rsidRDefault="003E4A41">
      <w:pPr>
        <w:pStyle w:val="Default"/>
        <w:rPr>
          <w:rFonts w:ascii="Garamond" w:hAnsi="Garamond" w:cs="Times New Roman"/>
          <w:color w:val="auto"/>
        </w:rPr>
      </w:pPr>
    </w:p>
    <w:p w14:paraId="7F37D75F" w14:textId="77777777" w:rsidR="003E4A41" w:rsidRPr="00901C48" w:rsidRDefault="00E42692">
      <w:pPr>
        <w:pStyle w:val="Default"/>
        <w:rPr>
          <w:rFonts w:ascii="Garamond" w:hAnsi="Garamond" w:cs="Times New Roman"/>
          <w:color w:val="auto"/>
        </w:rPr>
      </w:pPr>
      <w:r w:rsidRPr="00901C48">
        <w:rPr>
          <w:rFonts w:ascii="Garamond" w:hAnsi="Garamond" w:cs="Times New Roman"/>
          <w:color w:val="auto"/>
        </w:rPr>
        <w:t>Sincerely,</w:t>
      </w:r>
    </w:p>
    <w:p w14:paraId="1C4E541F" w14:textId="35D1D685" w:rsidR="003E4A41" w:rsidRPr="00901C48" w:rsidRDefault="003E4A41">
      <w:pPr>
        <w:pStyle w:val="Default"/>
        <w:rPr>
          <w:rFonts w:ascii="Garamond" w:hAnsi="Garamond" w:cs="Times New Roman"/>
          <w:color w:val="auto"/>
        </w:rPr>
      </w:pPr>
    </w:p>
    <w:p w14:paraId="55FBBEC1" w14:textId="77777777" w:rsidR="004F1CB7" w:rsidRPr="00901C48" w:rsidRDefault="004F1CB7">
      <w:pPr>
        <w:pStyle w:val="Default"/>
        <w:rPr>
          <w:rFonts w:ascii="Garamond" w:hAnsi="Garamond" w:cs="Times New Roman"/>
          <w:color w:val="auto"/>
        </w:rPr>
      </w:pPr>
    </w:p>
    <w:p w14:paraId="03FDDF70" w14:textId="77777777" w:rsidR="003E4A41" w:rsidRPr="00901C48" w:rsidRDefault="00E42692" w:rsidP="006C1C02">
      <w:pPr>
        <w:pStyle w:val="Default"/>
        <w:jc w:val="both"/>
        <w:rPr>
          <w:rFonts w:ascii="Garamond" w:hAnsi="Garamond" w:cs="Times New Roman"/>
          <w:color w:val="auto"/>
        </w:rPr>
      </w:pPr>
      <w:r w:rsidRPr="00901C48">
        <w:rPr>
          <w:rFonts w:ascii="Garamond" w:hAnsi="Garamond" w:cs="Times New Roman"/>
          <w:color w:val="auto"/>
        </w:rPr>
        <w:t>Kevin K. Batteh</w:t>
      </w:r>
    </w:p>
    <w:p w14:paraId="3D718BAD" w14:textId="77777777" w:rsidR="003E4A41" w:rsidRPr="00901C48" w:rsidRDefault="00E42692" w:rsidP="006C1C02">
      <w:pPr>
        <w:pStyle w:val="Default"/>
        <w:jc w:val="both"/>
        <w:rPr>
          <w:rFonts w:ascii="Garamond" w:hAnsi="Garamond" w:cs="Times New Roman"/>
          <w:color w:val="auto"/>
        </w:rPr>
      </w:pPr>
      <w:r w:rsidRPr="00901C48">
        <w:rPr>
          <w:rFonts w:ascii="Garamond" w:hAnsi="Garamond" w:cs="Times New Roman"/>
          <w:color w:val="auto"/>
        </w:rPr>
        <w:t>General Counsel</w:t>
      </w:r>
    </w:p>
    <w:p w14:paraId="0090CB78" w14:textId="59EF6404" w:rsidR="00BB31A3" w:rsidRDefault="00E42692" w:rsidP="006C1C02">
      <w:pPr>
        <w:pStyle w:val="Default"/>
        <w:jc w:val="both"/>
        <w:rPr>
          <w:rFonts w:ascii="Garamond" w:hAnsi="Garamond" w:cs="Times New Roman"/>
          <w:color w:val="auto"/>
        </w:rPr>
      </w:pPr>
      <w:r w:rsidRPr="00901C48">
        <w:rPr>
          <w:rFonts w:ascii="Garamond" w:hAnsi="Garamond" w:cs="Times New Roman"/>
          <w:color w:val="auto"/>
        </w:rPr>
        <w:t>Commodity Markets Council</w:t>
      </w:r>
    </w:p>
    <w:p w14:paraId="3307230E" w14:textId="17AB4D07" w:rsidR="00A8026B" w:rsidRPr="007B1E91" w:rsidRDefault="00A8026B" w:rsidP="007B1E91">
      <w:pPr>
        <w:widowControl w:val="0"/>
        <w:autoSpaceDE w:val="0"/>
        <w:autoSpaceDN w:val="0"/>
        <w:adjustRightInd w:val="0"/>
        <w:jc w:val="both"/>
        <w:rPr>
          <w:rFonts w:ascii="Garamond" w:hAnsi="Garamond" w:cs="Arial"/>
          <w:color w:val="351E12"/>
        </w:rPr>
      </w:pPr>
    </w:p>
    <w:sectPr w:rsidR="00A8026B" w:rsidRPr="007B1E91">
      <w:headerReference w:type="default" r:id="rId10"/>
      <w:headerReference w:type="first" r:id="rId11"/>
      <w:footerReference w:type="first" r:id="rId12"/>
      <w:pgSz w:w="12240" w:h="15840" w:code="1"/>
      <w:pgMar w:top="1440" w:right="1440" w:bottom="1296" w:left="1440" w:header="432" w:footer="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4BA755" w14:textId="77777777" w:rsidR="00D16D00" w:rsidRDefault="00D16D00">
      <w:pPr>
        <w:pStyle w:val="Header"/>
      </w:pPr>
      <w:r>
        <w:separator/>
      </w:r>
    </w:p>
  </w:endnote>
  <w:endnote w:type="continuationSeparator" w:id="0">
    <w:p w14:paraId="79A0789B" w14:textId="77777777" w:rsidR="00D16D00" w:rsidRDefault="00D16D00">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rebuchet MS">
    <w:panose1 w:val="020B0603020202020204"/>
    <w:charset w:val="00"/>
    <w:family w:val="auto"/>
    <w:pitch w:val="variable"/>
    <w:sig w:usb0="00000287" w:usb1="00000000" w:usb2="00000000" w:usb3="00000000" w:csb0="000000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Garamond">
    <w:panose1 w:val="02020404030301010803"/>
    <w:charset w:val="00"/>
    <w:family w:val="auto"/>
    <w:pitch w:val="variable"/>
    <w:sig w:usb0="00000003" w:usb1="00000000" w:usb2="00000000" w:usb3="00000000" w:csb0="00000001" w:csb1="00000000"/>
  </w:font>
  <w:font w:name="Calibri Bold Italic">
    <w:panose1 w:val="020F07020304040A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shd w:val="clear" w:color="auto" w:fill="333399"/>
      <w:tblLook w:val="01E0" w:firstRow="1" w:lastRow="1" w:firstColumn="1" w:lastColumn="1" w:noHBand="0" w:noVBand="0"/>
    </w:tblPr>
    <w:tblGrid>
      <w:gridCol w:w="9576"/>
    </w:tblGrid>
    <w:tr w:rsidR="00D16D00" w14:paraId="5398F184" w14:textId="77777777">
      <w:trPr>
        <w:trHeight w:val="432"/>
      </w:trPr>
      <w:tc>
        <w:tcPr>
          <w:tcW w:w="11592" w:type="dxa"/>
          <w:shd w:val="clear" w:color="auto" w:fill="333399"/>
          <w:vAlign w:val="bottom"/>
        </w:tcPr>
        <w:p w14:paraId="48FE01D4" w14:textId="77777777" w:rsidR="00D16D00" w:rsidRDefault="00D16D00">
          <w:pPr>
            <w:pStyle w:val="Footer"/>
          </w:pPr>
        </w:p>
      </w:tc>
    </w:tr>
  </w:tbl>
  <w:p w14:paraId="2D762414" w14:textId="0AA6260F" w:rsidR="00D16D00" w:rsidRDefault="00D16D00">
    <w:pPr>
      <w:pStyle w:val="Footer"/>
    </w:pPr>
  </w:p>
  <w:p w14:paraId="2852E5EA" w14:textId="701CDFC7" w:rsidR="00D16D00" w:rsidRDefault="00D16D00">
    <w:pPr>
      <w:pStyle w:val="Footer"/>
      <w:rPr>
        <w:sz w:val="16"/>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4F294A" w14:textId="77777777" w:rsidR="00D16D00" w:rsidRDefault="00D16D00">
      <w:pPr>
        <w:pStyle w:val="Header"/>
      </w:pPr>
      <w:r>
        <w:separator/>
      </w:r>
    </w:p>
  </w:footnote>
  <w:footnote w:type="continuationSeparator" w:id="0">
    <w:p w14:paraId="402E9D23" w14:textId="77777777" w:rsidR="00D16D00" w:rsidRDefault="00D16D00">
      <w:pPr>
        <w:pStyle w:val="Header"/>
      </w:pPr>
      <w:r>
        <w:continuationSeparator/>
      </w:r>
    </w:p>
  </w:footnote>
  <w:footnote w:id="1">
    <w:p w14:paraId="049E27A3" w14:textId="07933B17" w:rsidR="00D16D00" w:rsidRPr="00CF0AC9" w:rsidRDefault="00D16D00">
      <w:pPr>
        <w:pStyle w:val="FootnoteText"/>
        <w:contextualSpacing/>
        <w:rPr>
          <w:rFonts w:ascii="Garamond" w:hAnsi="Garamond"/>
          <w:sz w:val="22"/>
          <w:szCs w:val="22"/>
        </w:rPr>
      </w:pPr>
      <w:r w:rsidRPr="00CF0AC9">
        <w:rPr>
          <w:rStyle w:val="FootnoteReference"/>
          <w:rFonts w:ascii="Garamond" w:hAnsi="Garamond"/>
          <w:sz w:val="22"/>
          <w:szCs w:val="22"/>
        </w:rPr>
        <w:footnoteRef/>
      </w:r>
      <w:r w:rsidRPr="00CF0AC9">
        <w:rPr>
          <w:rFonts w:ascii="Garamond" w:hAnsi="Garamond"/>
          <w:sz w:val="22"/>
          <w:szCs w:val="22"/>
        </w:rPr>
        <w:t xml:space="preserve"> </w:t>
      </w:r>
      <w:r w:rsidRPr="00CF0AC9">
        <w:rPr>
          <w:rFonts w:ascii="Garamond" w:hAnsi="Garamond"/>
          <w:i/>
          <w:sz w:val="22"/>
          <w:szCs w:val="22"/>
        </w:rPr>
        <w:t>See Position Limits for Derivatives</w:t>
      </w:r>
      <w:r w:rsidRPr="00CF0AC9">
        <w:rPr>
          <w:rFonts w:ascii="Garamond" w:hAnsi="Garamond"/>
          <w:sz w:val="22"/>
          <w:szCs w:val="22"/>
        </w:rPr>
        <w:t xml:space="preserve">, 78 Fed. </w:t>
      </w:r>
      <w:proofErr w:type="gramStart"/>
      <w:r w:rsidRPr="00CF0AC9">
        <w:rPr>
          <w:rFonts w:ascii="Garamond" w:hAnsi="Garamond"/>
          <w:sz w:val="22"/>
          <w:szCs w:val="22"/>
        </w:rPr>
        <w:t>Reg. 75680 (Dec. 12, 2013) (“2013 Proposed Rule”).</w:t>
      </w:r>
      <w:proofErr w:type="gramEnd"/>
      <w:r w:rsidRPr="00CF0AC9">
        <w:rPr>
          <w:rFonts w:ascii="Garamond" w:hAnsi="Garamond"/>
          <w:sz w:val="22"/>
          <w:szCs w:val="22"/>
        </w:rPr>
        <w:t xml:space="preserve">  </w:t>
      </w:r>
    </w:p>
  </w:footnote>
  <w:footnote w:id="2">
    <w:p w14:paraId="03B67D66" w14:textId="6E4E1623" w:rsidR="00D16D00" w:rsidRPr="00BC2A9B" w:rsidRDefault="00D16D00">
      <w:pPr>
        <w:pStyle w:val="FootnoteText"/>
        <w:rPr>
          <w:rFonts w:ascii="Garamond" w:hAnsi="Garamond"/>
          <w:sz w:val="22"/>
          <w:szCs w:val="22"/>
        </w:rPr>
      </w:pPr>
      <w:r w:rsidRPr="00CF0AC9">
        <w:rPr>
          <w:rStyle w:val="FootnoteReference"/>
          <w:rFonts w:ascii="Garamond" w:hAnsi="Garamond"/>
          <w:sz w:val="22"/>
          <w:szCs w:val="22"/>
        </w:rPr>
        <w:footnoteRef/>
      </w:r>
      <w:r w:rsidRPr="00CF0AC9">
        <w:rPr>
          <w:rFonts w:ascii="Garamond" w:hAnsi="Garamond"/>
          <w:sz w:val="22"/>
          <w:szCs w:val="22"/>
        </w:rPr>
        <w:t xml:space="preserve"> </w:t>
      </w:r>
      <w:r w:rsidRPr="00CF0AC9">
        <w:rPr>
          <w:rFonts w:ascii="Garamond" w:hAnsi="Garamond"/>
          <w:i/>
          <w:sz w:val="22"/>
          <w:szCs w:val="22"/>
        </w:rPr>
        <w:t xml:space="preserve">See, e.g., </w:t>
      </w:r>
      <w:r w:rsidRPr="006E570C">
        <w:rPr>
          <w:rFonts w:ascii="Garamond" w:hAnsi="Garamond"/>
          <w:sz w:val="22"/>
          <w:szCs w:val="22"/>
        </w:rPr>
        <w:t xml:space="preserve">Testimony of Chairman Timothy G. </w:t>
      </w:r>
      <w:proofErr w:type="spellStart"/>
      <w:r w:rsidRPr="006E570C">
        <w:rPr>
          <w:rFonts w:ascii="Garamond" w:hAnsi="Garamond"/>
          <w:sz w:val="22"/>
          <w:szCs w:val="22"/>
        </w:rPr>
        <w:t>Massad</w:t>
      </w:r>
      <w:proofErr w:type="spellEnd"/>
      <w:r w:rsidRPr="006E570C">
        <w:rPr>
          <w:rFonts w:ascii="Garamond" w:hAnsi="Garamond"/>
          <w:sz w:val="22"/>
          <w:szCs w:val="22"/>
        </w:rPr>
        <w:t xml:space="preserve"> before the U.S. House Committee on Agriculture, (Feb. 10, 2016), </w:t>
      </w:r>
      <w:hyperlink r:id="rId1" w:history="1">
        <w:r w:rsidRPr="006E570C">
          <w:rPr>
            <w:rStyle w:val="Hyperlink"/>
            <w:rFonts w:ascii="Garamond" w:hAnsi="Garamond"/>
            <w:sz w:val="22"/>
            <w:szCs w:val="22"/>
          </w:rPr>
          <w:t>http://www.cftc.gov/PressRoom/SpeechesTestimony/opamassad-41</w:t>
        </w:r>
      </w:hyperlink>
      <w:r w:rsidRPr="006E570C">
        <w:rPr>
          <w:rFonts w:ascii="Garamond" w:hAnsi="Garamond"/>
          <w:sz w:val="22"/>
          <w:szCs w:val="22"/>
        </w:rPr>
        <w:t xml:space="preserve">; </w:t>
      </w:r>
      <w:r w:rsidRPr="006E570C">
        <w:rPr>
          <w:rFonts w:ascii="Garamond" w:hAnsi="Garamond" w:cs="Arial"/>
          <w:bCs/>
          <w:color w:val="351E12"/>
          <w:sz w:val="22"/>
          <w:szCs w:val="22"/>
        </w:rPr>
        <w:t xml:space="preserve">Statement of Chairman Timothy </w:t>
      </w:r>
      <w:proofErr w:type="spellStart"/>
      <w:r w:rsidRPr="006E570C">
        <w:rPr>
          <w:rFonts w:ascii="Garamond" w:hAnsi="Garamond" w:cs="Arial"/>
          <w:bCs/>
          <w:color w:val="351E12"/>
          <w:sz w:val="22"/>
          <w:szCs w:val="22"/>
        </w:rPr>
        <w:t>Massad</w:t>
      </w:r>
      <w:proofErr w:type="spellEnd"/>
      <w:r w:rsidRPr="006E570C">
        <w:rPr>
          <w:rFonts w:ascii="Garamond" w:hAnsi="Garamond" w:cs="Arial"/>
          <w:bCs/>
          <w:color w:val="351E12"/>
          <w:sz w:val="22"/>
          <w:szCs w:val="22"/>
        </w:rPr>
        <w:t xml:space="preserve"> on Supplemental Proposal on Position Limits for Derivatives,</w:t>
      </w:r>
      <w:r w:rsidRPr="00BC2A9B">
        <w:rPr>
          <w:rFonts w:ascii="Garamond" w:hAnsi="Garamond" w:cs="Arial"/>
          <w:bCs/>
          <w:color w:val="351E12"/>
          <w:sz w:val="22"/>
          <w:szCs w:val="22"/>
        </w:rPr>
        <w:t xml:space="preserve"> (May 26, 2016), </w:t>
      </w:r>
      <w:hyperlink r:id="rId2" w:history="1">
        <w:r w:rsidRPr="006E570C">
          <w:rPr>
            <w:rStyle w:val="Hyperlink"/>
            <w:rFonts w:ascii="Garamond" w:hAnsi="Garamond" w:cs="Arial"/>
            <w:bCs/>
            <w:sz w:val="22"/>
            <w:szCs w:val="22"/>
          </w:rPr>
          <w:t>http://www.cftc.gov/PressRoom/SpeechesTestimony/massadstatement052616</w:t>
        </w:r>
      </w:hyperlink>
      <w:r w:rsidRPr="006E570C">
        <w:rPr>
          <w:rFonts w:ascii="Garamond" w:hAnsi="Garamond" w:cs="Arial"/>
          <w:bCs/>
          <w:color w:val="351E12"/>
          <w:sz w:val="22"/>
          <w:szCs w:val="22"/>
        </w:rPr>
        <w:t xml:space="preserve">; Keynote Remarks of Chairman Timothy </w:t>
      </w:r>
      <w:proofErr w:type="spellStart"/>
      <w:r w:rsidRPr="006E570C">
        <w:rPr>
          <w:rFonts w:ascii="Garamond" w:hAnsi="Garamond" w:cs="Arial"/>
          <w:bCs/>
          <w:color w:val="351E12"/>
          <w:sz w:val="22"/>
          <w:szCs w:val="22"/>
        </w:rPr>
        <w:t>Massad</w:t>
      </w:r>
      <w:proofErr w:type="spellEnd"/>
      <w:r w:rsidRPr="006E570C">
        <w:rPr>
          <w:rFonts w:ascii="Garamond" w:hAnsi="Garamond" w:cs="Arial"/>
          <w:bCs/>
          <w:color w:val="351E12"/>
          <w:sz w:val="22"/>
          <w:szCs w:val="22"/>
        </w:rPr>
        <w:t xml:space="preserve"> before the Global Exchange and Brokerage Conference, New York, NY</w:t>
      </w:r>
      <w:r w:rsidRPr="00BC2A9B">
        <w:rPr>
          <w:rFonts w:ascii="Garamond" w:hAnsi="Garamond" w:cs="Arial"/>
          <w:bCs/>
          <w:color w:val="351E12"/>
          <w:sz w:val="22"/>
          <w:szCs w:val="22"/>
        </w:rPr>
        <w:t>,</w:t>
      </w:r>
      <w:r w:rsidRPr="00BC2A9B">
        <w:rPr>
          <w:rFonts w:ascii="Garamond" w:hAnsi="Garamond" w:cs="Arial"/>
          <w:color w:val="351E12"/>
          <w:sz w:val="22"/>
          <w:szCs w:val="22"/>
        </w:rPr>
        <w:t xml:space="preserve"> </w:t>
      </w:r>
      <w:r w:rsidRPr="00BC2A9B">
        <w:rPr>
          <w:rFonts w:ascii="Garamond" w:hAnsi="Garamond" w:cs="Arial"/>
          <w:bCs/>
          <w:color w:val="351E12"/>
          <w:sz w:val="22"/>
          <w:szCs w:val="22"/>
        </w:rPr>
        <w:t>(June 9, 2016</w:t>
      </w:r>
      <w:r w:rsidRPr="00BC2A9B">
        <w:rPr>
          <w:rFonts w:ascii="Garamond" w:hAnsi="Garamond"/>
          <w:sz w:val="22"/>
          <w:szCs w:val="22"/>
        </w:rPr>
        <w:t xml:space="preserve">), </w:t>
      </w:r>
      <w:hyperlink r:id="rId3" w:history="1">
        <w:r w:rsidRPr="006E570C">
          <w:rPr>
            <w:rStyle w:val="Hyperlink"/>
            <w:rFonts w:ascii="Garamond" w:hAnsi="Garamond" w:cs="Arial"/>
            <w:bCs/>
            <w:sz w:val="22"/>
            <w:szCs w:val="22"/>
          </w:rPr>
          <w:t>http://www.cftc.gov/PressRoom/SpeechesTestimony/opamassad-47</w:t>
        </w:r>
      </w:hyperlink>
      <w:r w:rsidRPr="006E570C">
        <w:rPr>
          <w:rFonts w:ascii="Garamond" w:hAnsi="Garamond" w:cs="Arial"/>
          <w:bCs/>
          <w:color w:val="351E12"/>
          <w:sz w:val="22"/>
          <w:szCs w:val="22"/>
        </w:rPr>
        <w:t xml:space="preserve">. </w:t>
      </w:r>
    </w:p>
  </w:footnote>
  <w:footnote w:id="3">
    <w:p w14:paraId="250E2B8D" w14:textId="09365736" w:rsidR="00D16D00" w:rsidRPr="006E570C" w:rsidRDefault="00D16D00" w:rsidP="00B4442B">
      <w:pPr>
        <w:widowControl w:val="0"/>
        <w:autoSpaceDE w:val="0"/>
        <w:autoSpaceDN w:val="0"/>
        <w:adjustRightInd w:val="0"/>
        <w:rPr>
          <w:rFonts w:ascii="Garamond" w:hAnsi="Garamond"/>
          <w:sz w:val="22"/>
          <w:szCs w:val="22"/>
        </w:rPr>
      </w:pPr>
      <w:r w:rsidRPr="006E570C">
        <w:rPr>
          <w:rStyle w:val="FootnoteReference"/>
          <w:rFonts w:ascii="Garamond" w:hAnsi="Garamond"/>
          <w:sz w:val="22"/>
          <w:szCs w:val="22"/>
        </w:rPr>
        <w:footnoteRef/>
      </w:r>
      <w:r w:rsidRPr="006E570C">
        <w:rPr>
          <w:rFonts w:ascii="Garamond" w:hAnsi="Garamond"/>
          <w:sz w:val="22"/>
          <w:szCs w:val="22"/>
        </w:rPr>
        <w:t xml:space="preserve"> </w:t>
      </w:r>
      <w:r w:rsidRPr="006E570C">
        <w:rPr>
          <w:rFonts w:ascii="Garamond" w:hAnsi="Garamond"/>
          <w:i/>
          <w:sz w:val="22"/>
          <w:szCs w:val="22"/>
        </w:rPr>
        <w:t xml:space="preserve">See, e.g., </w:t>
      </w:r>
      <w:r w:rsidRPr="006E570C">
        <w:rPr>
          <w:rFonts w:ascii="Garamond" w:hAnsi="Garamond" w:cs="Arial"/>
          <w:color w:val="351E12"/>
          <w:sz w:val="22"/>
          <w:szCs w:val="22"/>
        </w:rPr>
        <w:t xml:space="preserve">Remarks of Commissioner </w:t>
      </w:r>
      <w:r w:rsidRPr="006E570C">
        <w:rPr>
          <w:rFonts w:ascii="Garamond" w:hAnsi="Garamond"/>
          <w:sz w:val="22"/>
          <w:szCs w:val="22"/>
        </w:rPr>
        <w:t xml:space="preserve">Bowen before the District of Columbia Bar, (Jan. 12, 2016), </w:t>
      </w:r>
      <w:hyperlink r:id="rId4" w:history="1">
        <w:r w:rsidRPr="006E570C">
          <w:rPr>
            <w:rStyle w:val="Hyperlink"/>
            <w:rFonts w:ascii="Garamond" w:hAnsi="Garamond"/>
            <w:sz w:val="22"/>
            <w:szCs w:val="22"/>
          </w:rPr>
          <w:t>http://www.cftc.gov/PressRoom/SpeechesTestimony/opabowen-7</w:t>
        </w:r>
      </w:hyperlink>
      <w:r w:rsidRPr="006E570C">
        <w:rPr>
          <w:rFonts w:ascii="Garamond" w:hAnsi="Garamond"/>
          <w:sz w:val="22"/>
          <w:szCs w:val="22"/>
        </w:rPr>
        <w:t>.</w:t>
      </w:r>
    </w:p>
  </w:footnote>
  <w:footnote w:id="4">
    <w:p w14:paraId="0F8C83DC" w14:textId="04BC5E14" w:rsidR="00D16D00" w:rsidRPr="00BC2A9B" w:rsidRDefault="00D16D00">
      <w:pPr>
        <w:pStyle w:val="FootnoteText"/>
        <w:rPr>
          <w:rFonts w:ascii="Garamond" w:hAnsi="Garamond"/>
          <w:sz w:val="22"/>
          <w:szCs w:val="22"/>
        </w:rPr>
      </w:pPr>
      <w:r w:rsidRPr="00BC2A9B">
        <w:rPr>
          <w:rStyle w:val="FootnoteReference"/>
          <w:rFonts w:ascii="Garamond" w:hAnsi="Garamond"/>
          <w:sz w:val="22"/>
          <w:szCs w:val="22"/>
        </w:rPr>
        <w:footnoteRef/>
      </w:r>
      <w:r w:rsidRPr="00BC2A9B">
        <w:rPr>
          <w:rFonts w:ascii="Garamond" w:hAnsi="Garamond"/>
          <w:sz w:val="22"/>
          <w:szCs w:val="22"/>
        </w:rPr>
        <w:t xml:space="preserve"> </w:t>
      </w:r>
      <w:r w:rsidRPr="00BC2A9B">
        <w:rPr>
          <w:rFonts w:ascii="Garamond" w:hAnsi="Garamond"/>
          <w:i/>
          <w:sz w:val="22"/>
          <w:szCs w:val="22"/>
        </w:rPr>
        <w:t xml:space="preserve">See, e.g., </w:t>
      </w:r>
      <w:r w:rsidRPr="00BC2A9B">
        <w:rPr>
          <w:rFonts w:ascii="Garamond" w:hAnsi="Garamond" w:cs="Arial"/>
          <w:bCs/>
          <w:color w:val="351E12"/>
          <w:sz w:val="22"/>
          <w:szCs w:val="22"/>
        </w:rPr>
        <w:t>Statement of Commissioner J. Christopher Giancarlo Regarding Supplemental Proposal on Position Limits for Derivatives: Certain Exemptions and Guidance</w:t>
      </w:r>
      <w:r w:rsidRPr="00927E07">
        <w:rPr>
          <w:rFonts w:ascii="Garamond" w:hAnsi="Garamond" w:cs="Arial"/>
          <w:bCs/>
          <w:color w:val="351E12"/>
          <w:sz w:val="22"/>
          <w:szCs w:val="22"/>
        </w:rPr>
        <w:t>,</w:t>
      </w:r>
      <w:r w:rsidRPr="00025523">
        <w:rPr>
          <w:rFonts w:ascii="Garamond" w:hAnsi="Garamond" w:cs="Arial"/>
          <w:color w:val="351E12"/>
          <w:sz w:val="22"/>
          <w:szCs w:val="22"/>
        </w:rPr>
        <w:t xml:space="preserve"> (</w:t>
      </w:r>
      <w:r w:rsidRPr="00C76389">
        <w:rPr>
          <w:rFonts w:ascii="Garamond" w:hAnsi="Garamond" w:cs="Arial"/>
          <w:bCs/>
          <w:color w:val="351E12"/>
          <w:sz w:val="22"/>
          <w:szCs w:val="22"/>
        </w:rPr>
        <w:t>May 26, 2016),</w:t>
      </w:r>
      <w:r w:rsidRPr="001B6515">
        <w:rPr>
          <w:rFonts w:ascii="Garamond" w:hAnsi="Garamond"/>
          <w:sz w:val="22"/>
          <w:szCs w:val="22"/>
        </w:rPr>
        <w:t xml:space="preserve"> </w:t>
      </w:r>
      <w:hyperlink r:id="rId5" w:history="1">
        <w:r w:rsidRPr="006E570C">
          <w:rPr>
            <w:rStyle w:val="Hyperlink"/>
            <w:rFonts w:ascii="Garamond" w:hAnsi="Garamond"/>
            <w:sz w:val="22"/>
            <w:szCs w:val="22"/>
          </w:rPr>
          <w:t>http://www.cftc.gov/PressRoom/SpeechesTestimony/giancarlostatement052616</w:t>
        </w:r>
      </w:hyperlink>
      <w:r w:rsidRPr="00BC2A9B">
        <w:rPr>
          <w:rFonts w:ascii="Garamond" w:hAnsi="Garamond" w:cs="Arial"/>
          <w:bCs/>
          <w:color w:val="351E12"/>
          <w:sz w:val="22"/>
          <w:szCs w:val="22"/>
        </w:rPr>
        <w:t>.</w:t>
      </w:r>
    </w:p>
  </w:footnote>
  <w:footnote w:id="5">
    <w:p w14:paraId="0261FBCE" w14:textId="1AF4FDA8" w:rsidR="00D16D00" w:rsidRPr="00B5673F" w:rsidRDefault="00D16D00">
      <w:pPr>
        <w:pStyle w:val="FootnoteText"/>
        <w:rPr>
          <w:rFonts w:ascii="Garamond" w:hAnsi="Garamond"/>
          <w:sz w:val="22"/>
          <w:szCs w:val="22"/>
        </w:rPr>
      </w:pPr>
      <w:r w:rsidRPr="00927E07">
        <w:rPr>
          <w:rStyle w:val="FootnoteReference"/>
          <w:rFonts w:ascii="Garamond" w:hAnsi="Garamond"/>
          <w:sz w:val="22"/>
          <w:szCs w:val="22"/>
        </w:rPr>
        <w:footnoteRef/>
      </w:r>
      <w:r w:rsidRPr="00025523">
        <w:rPr>
          <w:rFonts w:ascii="Garamond" w:hAnsi="Garamond"/>
          <w:sz w:val="22"/>
          <w:szCs w:val="22"/>
        </w:rPr>
        <w:t xml:space="preserve"> </w:t>
      </w:r>
      <w:r w:rsidRPr="00C76389">
        <w:rPr>
          <w:rFonts w:ascii="Garamond" w:hAnsi="Garamond"/>
          <w:i/>
          <w:sz w:val="22"/>
          <w:szCs w:val="22"/>
        </w:rPr>
        <w:t xml:space="preserve">See </w:t>
      </w:r>
      <w:r w:rsidRPr="001B6515">
        <w:rPr>
          <w:rFonts w:ascii="Garamond" w:hAnsi="Garamond"/>
          <w:i/>
          <w:sz w:val="22"/>
          <w:szCs w:val="22"/>
        </w:rPr>
        <w:t>Position Limits for Derivatives: Certain Exemptions and Guidance</w:t>
      </w:r>
      <w:r w:rsidRPr="00B5673F">
        <w:rPr>
          <w:rFonts w:ascii="Garamond" w:hAnsi="Garamond"/>
          <w:sz w:val="22"/>
          <w:szCs w:val="22"/>
        </w:rPr>
        <w:t xml:space="preserve">, 81 Fed. </w:t>
      </w:r>
      <w:proofErr w:type="gramStart"/>
      <w:r w:rsidRPr="00B5673F">
        <w:rPr>
          <w:rFonts w:ascii="Garamond" w:hAnsi="Garamond"/>
          <w:sz w:val="22"/>
          <w:szCs w:val="22"/>
        </w:rPr>
        <w:t>Reg. 38458 (June 13, 2016) (“Supplemental Proposal”).</w:t>
      </w:r>
      <w:proofErr w:type="gramEnd"/>
    </w:p>
  </w:footnote>
  <w:footnote w:id="6">
    <w:p w14:paraId="18B880D6" w14:textId="5B2E84D0" w:rsidR="00D16D00" w:rsidRPr="00B5673F" w:rsidRDefault="00D16D00">
      <w:pPr>
        <w:pStyle w:val="FootnoteText"/>
        <w:rPr>
          <w:rFonts w:ascii="Garamond" w:hAnsi="Garamond"/>
          <w:sz w:val="22"/>
          <w:szCs w:val="22"/>
        </w:rPr>
      </w:pPr>
      <w:r w:rsidRPr="00B5673F">
        <w:rPr>
          <w:rStyle w:val="FootnoteReference"/>
          <w:rFonts w:ascii="Garamond" w:hAnsi="Garamond"/>
          <w:sz w:val="22"/>
          <w:szCs w:val="22"/>
        </w:rPr>
        <w:footnoteRef/>
      </w:r>
      <w:r w:rsidRPr="00B5673F">
        <w:rPr>
          <w:rFonts w:ascii="Garamond" w:hAnsi="Garamond"/>
          <w:sz w:val="22"/>
          <w:szCs w:val="22"/>
        </w:rPr>
        <w:t xml:space="preserve"> </w:t>
      </w:r>
      <w:proofErr w:type="gramStart"/>
      <w:r w:rsidRPr="00B5673F">
        <w:rPr>
          <w:rFonts w:ascii="Garamond" w:hAnsi="Garamond"/>
          <w:i/>
          <w:sz w:val="22"/>
          <w:szCs w:val="22"/>
        </w:rPr>
        <w:t>Id.</w:t>
      </w:r>
      <w:r w:rsidRPr="00B5673F">
        <w:rPr>
          <w:rFonts w:ascii="Garamond" w:hAnsi="Garamond"/>
          <w:sz w:val="22"/>
          <w:szCs w:val="22"/>
        </w:rPr>
        <w:t xml:space="preserve"> at 38509 and 38512.</w:t>
      </w:r>
      <w:proofErr w:type="gramEnd"/>
    </w:p>
  </w:footnote>
  <w:footnote w:id="7">
    <w:p w14:paraId="74FE1C35" w14:textId="10407520" w:rsidR="00D16D00" w:rsidRPr="004709E4" w:rsidRDefault="00D16D00">
      <w:pPr>
        <w:pStyle w:val="FootnoteText"/>
        <w:rPr>
          <w:rFonts w:ascii="Garamond" w:hAnsi="Garamond"/>
          <w:sz w:val="22"/>
          <w:szCs w:val="22"/>
        </w:rPr>
      </w:pPr>
      <w:r w:rsidRPr="00222BEB">
        <w:rPr>
          <w:rStyle w:val="FootnoteReference"/>
          <w:rFonts w:ascii="Garamond" w:hAnsi="Garamond"/>
          <w:sz w:val="22"/>
          <w:szCs w:val="22"/>
        </w:rPr>
        <w:footnoteRef/>
      </w:r>
      <w:r w:rsidRPr="0033041A">
        <w:rPr>
          <w:rFonts w:ascii="Garamond" w:hAnsi="Garamond"/>
          <w:sz w:val="22"/>
          <w:szCs w:val="22"/>
        </w:rPr>
        <w:t xml:space="preserve"> </w:t>
      </w:r>
      <w:proofErr w:type="gramStart"/>
      <w:r w:rsidRPr="00A24292">
        <w:rPr>
          <w:rFonts w:ascii="Garamond" w:hAnsi="Garamond"/>
          <w:i/>
          <w:sz w:val="22"/>
          <w:szCs w:val="22"/>
        </w:rPr>
        <w:t xml:space="preserve">Id. </w:t>
      </w:r>
      <w:r w:rsidRPr="00A24292">
        <w:rPr>
          <w:rFonts w:ascii="Garamond" w:hAnsi="Garamond"/>
          <w:sz w:val="22"/>
          <w:szCs w:val="22"/>
        </w:rPr>
        <w:t>at 38482.</w:t>
      </w:r>
      <w:proofErr w:type="gramEnd"/>
    </w:p>
  </w:footnote>
  <w:footnote w:id="8">
    <w:p w14:paraId="45FC4D48" w14:textId="01DFCEC4" w:rsidR="00D16D00" w:rsidRPr="00B5673F" w:rsidRDefault="00D16D00">
      <w:pPr>
        <w:pStyle w:val="FootnoteText"/>
        <w:rPr>
          <w:rFonts w:ascii="Garamond" w:hAnsi="Garamond"/>
          <w:sz w:val="22"/>
          <w:szCs w:val="22"/>
        </w:rPr>
      </w:pPr>
      <w:r w:rsidRPr="00A05183">
        <w:rPr>
          <w:rStyle w:val="FootnoteReference"/>
          <w:rFonts w:ascii="Garamond" w:hAnsi="Garamond"/>
          <w:sz w:val="22"/>
          <w:szCs w:val="22"/>
        </w:rPr>
        <w:footnoteRef/>
      </w:r>
      <w:r w:rsidRPr="00A05183">
        <w:rPr>
          <w:rFonts w:ascii="Garamond" w:hAnsi="Garamond"/>
          <w:sz w:val="22"/>
          <w:szCs w:val="22"/>
        </w:rPr>
        <w:t xml:space="preserve"> </w:t>
      </w:r>
      <w:r w:rsidRPr="00A05183">
        <w:rPr>
          <w:rFonts w:ascii="Garamond" w:hAnsi="Garamond"/>
          <w:i/>
          <w:sz w:val="22"/>
          <w:szCs w:val="22"/>
        </w:rPr>
        <w:t>Id.</w:t>
      </w:r>
      <w:r w:rsidRPr="00A05183">
        <w:rPr>
          <w:rFonts w:ascii="Garamond" w:hAnsi="Garamond"/>
          <w:sz w:val="22"/>
          <w:szCs w:val="22"/>
        </w:rPr>
        <w:t xml:space="preserve"> </w:t>
      </w:r>
      <w:r>
        <w:rPr>
          <w:rFonts w:ascii="Garamond" w:hAnsi="Garamond"/>
          <w:sz w:val="22"/>
          <w:szCs w:val="22"/>
        </w:rPr>
        <w:t>Request for Comment (“</w:t>
      </w:r>
      <w:r w:rsidRPr="00B5673F">
        <w:rPr>
          <w:rFonts w:ascii="Garamond" w:hAnsi="Garamond"/>
          <w:sz w:val="22"/>
          <w:szCs w:val="22"/>
        </w:rPr>
        <w:t>RFC</w:t>
      </w:r>
      <w:r>
        <w:rPr>
          <w:rFonts w:ascii="Garamond" w:hAnsi="Garamond"/>
          <w:sz w:val="22"/>
          <w:szCs w:val="22"/>
        </w:rPr>
        <w:t>”)</w:t>
      </w:r>
      <w:r w:rsidRPr="00B5673F">
        <w:rPr>
          <w:rFonts w:ascii="Garamond" w:hAnsi="Garamond"/>
          <w:sz w:val="22"/>
          <w:szCs w:val="22"/>
        </w:rPr>
        <w:t xml:space="preserve"> 31; and </w:t>
      </w:r>
      <w:r w:rsidRPr="00B5673F">
        <w:rPr>
          <w:rFonts w:ascii="Garamond" w:hAnsi="Garamond"/>
          <w:i/>
          <w:sz w:val="22"/>
          <w:szCs w:val="22"/>
        </w:rPr>
        <w:t xml:space="preserve">See </w:t>
      </w:r>
      <w:r w:rsidRPr="00B5673F">
        <w:rPr>
          <w:rFonts w:ascii="Garamond" w:hAnsi="Garamond"/>
          <w:sz w:val="22"/>
          <w:szCs w:val="22"/>
        </w:rPr>
        <w:t>proposed CFTC Rules 150.9(f), 150.10(f), and 150.11(e)</w:t>
      </w:r>
    </w:p>
  </w:footnote>
  <w:footnote w:id="9">
    <w:p w14:paraId="74F44D76" w14:textId="79F0BED8" w:rsidR="00D16D00" w:rsidRPr="001B6515" w:rsidRDefault="00D16D00">
      <w:pPr>
        <w:pStyle w:val="FootnoteText"/>
        <w:rPr>
          <w:rFonts w:ascii="Garamond" w:hAnsi="Garamond"/>
          <w:sz w:val="22"/>
          <w:szCs w:val="22"/>
        </w:rPr>
      </w:pPr>
      <w:r w:rsidRPr="00222BEB">
        <w:rPr>
          <w:rStyle w:val="FootnoteReference"/>
          <w:rFonts w:ascii="Garamond" w:hAnsi="Garamond"/>
          <w:sz w:val="22"/>
          <w:szCs w:val="22"/>
        </w:rPr>
        <w:footnoteRef/>
      </w:r>
      <w:r w:rsidRPr="0033041A">
        <w:rPr>
          <w:rFonts w:ascii="Garamond" w:hAnsi="Garamond"/>
          <w:sz w:val="22"/>
          <w:szCs w:val="22"/>
        </w:rPr>
        <w:t xml:space="preserve"> CMC’s comments below supplement its prior comment letters with regard to position limits.  For the matters that were not addressed in the Supplemental Proposal, we request that the Commission consider CMC’s prior comments in conjunct</w:t>
      </w:r>
      <w:r w:rsidRPr="00A24292">
        <w:rPr>
          <w:rFonts w:ascii="Garamond" w:hAnsi="Garamond"/>
          <w:sz w:val="22"/>
          <w:szCs w:val="22"/>
        </w:rPr>
        <w:t xml:space="preserve">ion with the comments provided below as it adopts a final position limits rule.  </w:t>
      </w:r>
      <w:r w:rsidRPr="00A24292">
        <w:rPr>
          <w:rFonts w:ascii="Garamond" w:hAnsi="Garamond"/>
          <w:i/>
          <w:sz w:val="22"/>
          <w:szCs w:val="22"/>
        </w:rPr>
        <w:t xml:space="preserve">See </w:t>
      </w:r>
      <w:r w:rsidRPr="004709E4">
        <w:rPr>
          <w:rFonts w:ascii="Garamond" w:hAnsi="Garamond"/>
          <w:sz w:val="22"/>
          <w:szCs w:val="22"/>
        </w:rPr>
        <w:t xml:space="preserve">CMC Letter to CFTC (Sept. 24, 2013), </w:t>
      </w:r>
      <w:hyperlink r:id="rId6" w:history="1">
        <w:r w:rsidRPr="00BC2A9B">
          <w:rPr>
            <w:rStyle w:val="Hyperlink"/>
            <w:rFonts w:ascii="Garamond" w:hAnsi="Garamond"/>
            <w:sz w:val="22"/>
            <w:szCs w:val="22"/>
          </w:rPr>
          <w:t>http://www.commoditymkts.org/wp-content/uploads/2014/05/CMC-Final-Anticipatory-Hedge-9.24.13.pdf</w:t>
        </w:r>
      </w:hyperlink>
      <w:r w:rsidRPr="00927E07">
        <w:rPr>
          <w:rFonts w:ascii="Garamond" w:hAnsi="Garamond"/>
          <w:sz w:val="22"/>
          <w:szCs w:val="22"/>
        </w:rPr>
        <w:t xml:space="preserve">; CMC Letter to CFTC </w:t>
      </w:r>
      <w:r w:rsidRPr="00025523">
        <w:rPr>
          <w:rFonts w:ascii="Garamond" w:hAnsi="Garamond"/>
          <w:sz w:val="22"/>
          <w:szCs w:val="22"/>
        </w:rPr>
        <w:t>(Feb</w:t>
      </w:r>
      <w:r w:rsidRPr="00C76389">
        <w:rPr>
          <w:rFonts w:ascii="Garamond" w:hAnsi="Garamond"/>
          <w:sz w:val="22"/>
          <w:szCs w:val="22"/>
        </w:rPr>
        <w:t>.</w:t>
      </w:r>
      <w:r w:rsidRPr="001B6515">
        <w:rPr>
          <w:rFonts w:ascii="Garamond" w:hAnsi="Garamond"/>
          <w:sz w:val="22"/>
          <w:szCs w:val="22"/>
        </w:rPr>
        <w:t xml:space="preserve"> 10, 2014), </w:t>
      </w:r>
      <w:hyperlink r:id="rId7" w:history="1">
        <w:r w:rsidRPr="00BC2A9B">
          <w:rPr>
            <w:rStyle w:val="Hyperlink"/>
            <w:rFonts w:ascii="Garamond" w:hAnsi="Garamond"/>
            <w:sz w:val="22"/>
            <w:szCs w:val="22"/>
          </w:rPr>
          <w:t>http://www.commoditymkts.org/wp-content/uploads/2014/05/CMC-Position-Limits-Comment-Letter-2-10-2014.pdf</w:t>
        </w:r>
      </w:hyperlink>
      <w:r w:rsidRPr="00BC2A9B">
        <w:rPr>
          <w:rFonts w:ascii="Garamond" w:hAnsi="Garamond"/>
          <w:sz w:val="22"/>
          <w:szCs w:val="22"/>
        </w:rPr>
        <w:t xml:space="preserve">; </w:t>
      </w:r>
      <w:r w:rsidRPr="00927E07">
        <w:rPr>
          <w:rFonts w:ascii="Garamond" w:hAnsi="Garamond"/>
          <w:sz w:val="22"/>
          <w:szCs w:val="22"/>
        </w:rPr>
        <w:t xml:space="preserve">CMC Letter to CFTC (July 25, 2014), </w:t>
      </w:r>
      <w:hyperlink r:id="rId8" w:history="1">
        <w:r w:rsidRPr="00927E07">
          <w:rPr>
            <w:rStyle w:val="Hyperlink"/>
            <w:rFonts w:ascii="Garamond" w:hAnsi="Garamond"/>
            <w:sz w:val="22"/>
            <w:szCs w:val="22"/>
          </w:rPr>
          <w:t>http://www.commoditymkts.org/wp-content/uploads</w:t>
        </w:r>
        <w:r w:rsidRPr="00C76389">
          <w:rPr>
            <w:rStyle w:val="Hyperlink"/>
            <w:rFonts w:ascii="Garamond" w:hAnsi="Garamond"/>
            <w:sz w:val="22"/>
            <w:szCs w:val="22"/>
          </w:rPr>
          <w:t>/2</w:t>
        </w:r>
        <w:r w:rsidRPr="001B6515">
          <w:rPr>
            <w:rStyle w:val="Hyperlink"/>
            <w:rFonts w:ascii="Garamond" w:hAnsi="Garamond"/>
            <w:sz w:val="22"/>
            <w:szCs w:val="22"/>
          </w:rPr>
          <w:t>014/07</w:t>
        </w:r>
        <w:r w:rsidRPr="001B6515">
          <w:rPr>
            <w:rStyle w:val="Hyperlink"/>
            <w:rFonts w:ascii="Garamond" w:hAnsi="Garamond"/>
            <w:sz w:val="22"/>
            <w:szCs w:val="22"/>
          </w:rPr>
          <w:t>/</w:t>
        </w:r>
        <w:r w:rsidRPr="001B6515">
          <w:rPr>
            <w:rStyle w:val="Hyperlink"/>
            <w:rFonts w:ascii="Garamond" w:hAnsi="Garamond"/>
            <w:sz w:val="22"/>
            <w:szCs w:val="22"/>
          </w:rPr>
          <w:t>CMC-PL-Roundtable-Comment-Letter-FINAL.pdf</w:t>
        </w:r>
      </w:hyperlink>
      <w:r w:rsidRPr="00B5673F">
        <w:rPr>
          <w:rFonts w:ascii="Garamond" w:hAnsi="Garamond"/>
          <w:sz w:val="22"/>
          <w:szCs w:val="22"/>
        </w:rPr>
        <w:t xml:space="preserve">; CMC Letter to CFTC </w:t>
      </w:r>
      <w:r w:rsidRPr="00F00292">
        <w:rPr>
          <w:rFonts w:ascii="Garamond" w:hAnsi="Garamond"/>
          <w:sz w:val="22"/>
          <w:szCs w:val="22"/>
        </w:rPr>
        <w:t xml:space="preserve">(Mar. 28, 2015), </w:t>
      </w:r>
      <w:hyperlink r:id="rId9" w:history="1">
        <w:r w:rsidRPr="00927E07">
          <w:rPr>
            <w:rStyle w:val="Hyperlink"/>
            <w:rFonts w:ascii="Garamond" w:hAnsi="Garamond"/>
            <w:sz w:val="22"/>
            <w:szCs w:val="22"/>
          </w:rPr>
          <w:t>http://www.commoditymkts.org/wp-content/uploads/2015/09/CMC-Position-Limits-Letter-3.28.2015.pdf</w:t>
        </w:r>
      </w:hyperlink>
      <w:r w:rsidRPr="001B6515">
        <w:rPr>
          <w:rFonts w:ascii="Garamond" w:hAnsi="Garamond"/>
          <w:sz w:val="22"/>
          <w:szCs w:val="22"/>
        </w:rPr>
        <w:t>.</w:t>
      </w:r>
    </w:p>
  </w:footnote>
  <w:footnote w:id="10">
    <w:p w14:paraId="78180165" w14:textId="57B1D4A7" w:rsidR="00D16D00" w:rsidRPr="00F00292" w:rsidRDefault="00D16D00" w:rsidP="00657B2D">
      <w:pPr>
        <w:pStyle w:val="FootnoteText"/>
        <w:rPr>
          <w:rFonts w:ascii="Garamond" w:hAnsi="Garamond"/>
          <w:sz w:val="22"/>
          <w:szCs w:val="22"/>
        </w:rPr>
      </w:pPr>
      <w:r w:rsidRPr="00B5673F">
        <w:rPr>
          <w:rStyle w:val="FootnoteReference"/>
          <w:rFonts w:ascii="Garamond" w:hAnsi="Garamond"/>
          <w:sz w:val="22"/>
          <w:szCs w:val="22"/>
        </w:rPr>
        <w:footnoteRef/>
      </w:r>
      <w:r w:rsidRPr="00B5673F">
        <w:rPr>
          <w:rFonts w:ascii="Garamond" w:hAnsi="Garamond"/>
          <w:sz w:val="22"/>
          <w:szCs w:val="22"/>
        </w:rPr>
        <w:t xml:space="preserve"> </w:t>
      </w:r>
      <w:proofErr w:type="gramStart"/>
      <w:r w:rsidRPr="00B5673F">
        <w:rPr>
          <w:rFonts w:ascii="Garamond" w:hAnsi="Garamond"/>
          <w:i/>
          <w:sz w:val="22"/>
          <w:szCs w:val="22"/>
        </w:rPr>
        <w:t>Id.</w:t>
      </w:r>
      <w:r w:rsidRPr="00F00292">
        <w:rPr>
          <w:rFonts w:ascii="Garamond" w:hAnsi="Garamond"/>
          <w:sz w:val="22"/>
          <w:szCs w:val="22"/>
        </w:rPr>
        <w:t xml:space="preserve"> at 38463.</w:t>
      </w:r>
      <w:proofErr w:type="gramEnd"/>
    </w:p>
  </w:footnote>
  <w:footnote w:id="11">
    <w:p w14:paraId="7B1404C1" w14:textId="77777777" w:rsidR="00D16D00" w:rsidRPr="00A05183" w:rsidRDefault="00D16D00" w:rsidP="002E7781">
      <w:pPr>
        <w:pStyle w:val="FootnoteText"/>
        <w:rPr>
          <w:rFonts w:ascii="Garamond" w:hAnsi="Garamond"/>
          <w:sz w:val="22"/>
          <w:szCs w:val="22"/>
        </w:rPr>
      </w:pPr>
      <w:r w:rsidRPr="00BE0FFA">
        <w:rPr>
          <w:rStyle w:val="FootnoteReference"/>
          <w:rFonts w:ascii="Garamond" w:hAnsi="Garamond"/>
          <w:sz w:val="22"/>
          <w:szCs w:val="22"/>
        </w:rPr>
        <w:footnoteRef/>
      </w:r>
      <w:r w:rsidRPr="00BE0FFA">
        <w:rPr>
          <w:rFonts w:ascii="Garamond" w:hAnsi="Garamond"/>
          <w:sz w:val="22"/>
          <w:szCs w:val="22"/>
        </w:rPr>
        <w:t xml:space="preserve"> </w:t>
      </w:r>
      <w:r w:rsidRPr="00BE0FFA">
        <w:rPr>
          <w:rFonts w:ascii="Garamond" w:hAnsi="Garamond"/>
          <w:i/>
          <w:sz w:val="22"/>
          <w:szCs w:val="22"/>
        </w:rPr>
        <w:t xml:space="preserve">See </w:t>
      </w:r>
      <w:r w:rsidRPr="00BE0FFA">
        <w:rPr>
          <w:rFonts w:ascii="Garamond" w:hAnsi="Garamond"/>
          <w:sz w:val="22"/>
          <w:szCs w:val="22"/>
        </w:rPr>
        <w:t>CEA Section 3(a)</w:t>
      </w:r>
      <w:r w:rsidRPr="00BE0FFA">
        <w:rPr>
          <w:rFonts w:ascii="Garamond" w:hAnsi="Garamond"/>
          <w:i/>
          <w:sz w:val="22"/>
          <w:szCs w:val="22"/>
        </w:rPr>
        <w:t xml:space="preserve"> </w:t>
      </w:r>
      <w:r w:rsidRPr="00BE0FFA">
        <w:rPr>
          <w:rFonts w:ascii="Garamond" w:hAnsi="Garamond"/>
          <w:sz w:val="22"/>
          <w:szCs w:val="22"/>
        </w:rPr>
        <w:t xml:space="preserve">(“The transactions subject to this Act are entered into regularly in interstate and international commerce and are affected with a national public interest by </w:t>
      </w:r>
      <w:r w:rsidRPr="00BE0FFA">
        <w:rPr>
          <w:rFonts w:ascii="Garamond" w:hAnsi="Garamond"/>
          <w:i/>
          <w:sz w:val="22"/>
          <w:szCs w:val="22"/>
          <w:u w:val="single"/>
        </w:rPr>
        <w:t>providing a means for managing and assuming price risks</w:t>
      </w:r>
      <w:r w:rsidRPr="00BE0FFA">
        <w:rPr>
          <w:rFonts w:ascii="Garamond" w:hAnsi="Garamond"/>
          <w:i/>
          <w:sz w:val="22"/>
          <w:szCs w:val="22"/>
        </w:rPr>
        <w:t>, discovering prices, or disseminating pricing information through trading in liquid, fair and financially secure trading facilities</w:t>
      </w:r>
      <w:r w:rsidRPr="00BE0FFA">
        <w:rPr>
          <w:rFonts w:ascii="Garamond" w:hAnsi="Garamond"/>
          <w:sz w:val="22"/>
          <w:szCs w:val="22"/>
        </w:rPr>
        <w:t>.</w:t>
      </w:r>
      <w:r w:rsidRPr="00BE0FFA">
        <w:rPr>
          <w:rFonts w:ascii="Garamond" w:hAnsi="Garamond" w:cs="Calibri"/>
          <w:sz w:val="22"/>
          <w:szCs w:val="22"/>
        </w:rPr>
        <w:t>”</w:t>
      </w:r>
      <w:r w:rsidRPr="00BE0FFA">
        <w:rPr>
          <w:rFonts w:ascii="Garamond" w:hAnsi="Garamond"/>
          <w:sz w:val="22"/>
          <w:szCs w:val="22"/>
        </w:rPr>
        <w:t>).</w:t>
      </w:r>
    </w:p>
  </w:footnote>
  <w:footnote w:id="12">
    <w:p w14:paraId="0457B871" w14:textId="0B5238B2" w:rsidR="00D16D00" w:rsidRPr="00D826CF" w:rsidRDefault="00D16D00">
      <w:pPr>
        <w:pStyle w:val="FootnoteText"/>
        <w:rPr>
          <w:rFonts w:ascii="Garamond" w:hAnsi="Garamond"/>
          <w:sz w:val="22"/>
          <w:szCs w:val="22"/>
        </w:rPr>
      </w:pPr>
      <w:r w:rsidRPr="00D826CF">
        <w:rPr>
          <w:rStyle w:val="FootnoteReference"/>
          <w:rFonts w:ascii="Garamond" w:hAnsi="Garamond"/>
          <w:sz w:val="22"/>
          <w:szCs w:val="22"/>
        </w:rPr>
        <w:footnoteRef/>
      </w:r>
      <w:r w:rsidRPr="00D826CF">
        <w:rPr>
          <w:rFonts w:ascii="Garamond" w:hAnsi="Garamond"/>
          <w:sz w:val="22"/>
          <w:szCs w:val="22"/>
        </w:rPr>
        <w:t xml:space="preserve"> </w:t>
      </w:r>
      <w:r w:rsidRPr="00D826CF">
        <w:rPr>
          <w:rFonts w:ascii="Garamond" w:hAnsi="Garamond"/>
          <w:i/>
          <w:sz w:val="22"/>
          <w:szCs w:val="22"/>
        </w:rPr>
        <w:t xml:space="preserve">See </w:t>
      </w:r>
      <w:r w:rsidRPr="00D826CF">
        <w:rPr>
          <w:rFonts w:ascii="Garamond" w:hAnsi="Garamond"/>
          <w:sz w:val="22"/>
          <w:szCs w:val="22"/>
        </w:rPr>
        <w:t xml:space="preserve">Supplemental Proposal at 38480-38482; and </w:t>
      </w:r>
      <w:r w:rsidRPr="00BE0FFA">
        <w:rPr>
          <w:rFonts w:ascii="Garamond" w:hAnsi="Garamond" w:cs="Arial"/>
          <w:sz w:val="22"/>
          <w:szCs w:val="22"/>
        </w:rPr>
        <w:t xml:space="preserve">Remarks of Commissioner </w:t>
      </w:r>
      <w:r w:rsidRPr="00D826CF">
        <w:rPr>
          <w:rFonts w:ascii="Garamond" w:hAnsi="Garamond"/>
          <w:sz w:val="22"/>
          <w:szCs w:val="22"/>
        </w:rPr>
        <w:t>Bowen before the District of Columbia Bar, (Jan. 12, 2016), (“</w:t>
      </w:r>
      <w:r w:rsidRPr="00BE0FFA">
        <w:rPr>
          <w:rFonts w:ascii="Garamond" w:hAnsi="Garamond" w:cs="Arial"/>
          <w:sz w:val="22"/>
          <w:szCs w:val="22"/>
        </w:rPr>
        <w:t xml:space="preserve">In my time as a Commissioner, I have spoken with farmers, processors, and others involved in producing the food we eat and the plant-based products we </w:t>
      </w:r>
      <w:proofErr w:type="gramStart"/>
      <w:r w:rsidRPr="00BE0FFA">
        <w:rPr>
          <w:rFonts w:ascii="Garamond" w:hAnsi="Garamond" w:cs="Arial"/>
          <w:sz w:val="22"/>
          <w:szCs w:val="22"/>
        </w:rPr>
        <w:t>use.</w:t>
      </w:r>
      <w:proofErr w:type="gramEnd"/>
      <w:r w:rsidRPr="00BE0FFA">
        <w:rPr>
          <w:rFonts w:ascii="Garamond" w:hAnsi="Garamond" w:cs="Arial"/>
          <w:sz w:val="22"/>
          <w:szCs w:val="22"/>
        </w:rPr>
        <w:t xml:space="preserve"> . . [</w:t>
      </w:r>
      <w:proofErr w:type="gramStart"/>
      <w:r w:rsidRPr="00BE0FFA">
        <w:rPr>
          <w:rFonts w:ascii="Garamond" w:hAnsi="Garamond" w:cs="Arial"/>
          <w:sz w:val="22"/>
          <w:szCs w:val="22"/>
        </w:rPr>
        <w:t>g]</w:t>
      </w:r>
      <w:proofErr w:type="spellStart"/>
      <w:r w:rsidRPr="00BE0FFA">
        <w:rPr>
          <w:rFonts w:ascii="Garamond" w:hAnsi="Garamond" w:cs="Arial"/>
          <w:sz w:val="22"/>
          <w:szCs w:val="22"/>
        </w:rPr>
        <w:t>iven</w:t>
      </w:r>
      <w:proofErr w:type="spellEnd"/>
      <w:proofErr w:type="gramEnd"/>
      <w:r w:rsidRPr="00BE0FFA">
        <w:rPr>
          <w:rFonts w:ascii="Garamond" w:hAnsi="Garamond" w:cs="Arial"/>
          <w:sz w:val="22"/>
          <w:szCs w:val="22"/>
        </w:rPr>
        <w:t xml:space="preserve"> the sizeable capital investments needed and their frequently unpredictable incomes, they need access to cost-effective hedging to finance their businesses.  They need to be able to protect against anticipated risks”).</w:t>
      </w:r>
    </w:p>
  </w:footnote>
  <w:footnote w:id="13">
    <w:p w14:paraId="4A289A85" w14:textId="11D12652" w:rsidR="00D16D00" w:rsidRDefault="00D16D00" w:rsidP="00D16D00">
      <w:pPr>
        <w:ind w:firstLine="720"/>
        <w:jc w:val="both"/>
        <w:rPr>
          <w:rFonts w:ascii="Garamond" w:hAnsi="Garamond"/>
          <w:sz w:val="24"/>
          <w:szCs w:val="24"/>
        </w:rPr>
      </w:pPr>
      <w:r w:rsidRPr="00BE0FFA">
        <w:rPr>
          <w:rFonts w:ascii="Garamond" w:eastAsiaTheme="minorEastAsia" w:hAnsi="Garamond" w:cs="Arial"/>
          <w:sz w:val="22"/>
          <w:szCs w:val="22"/>
        </w:rPr>
        <w:footnoteRef/>
      </w:r>
      <w:r w:rsidRPr="00BE0FFA">
        <w:rPr>
          <w:rFonts w:ascii="Garamond" w:eastAsiaTheme="minorEastAsia" w:hAnsi="Garamond" w:cs="Arial"/>
          <w:sz w:val="22"/>
          <w:szCs w:val="22"/>
        </w:rPr>
        <w:t xml:space="preserve"> For example, the demand for oil to process in a global refinery system, store in tankage, or arbitrage between one region and the other is constantly changing with the dynamics of the overall market.  Many refining systems anticipate their future needs for oil based on economics for refining crude oil into products, which change over time depending on a multitude of factors. </w:t>
      </w:r>
      <w:r>
        <w:rPr>
          <w:rFonts w:ascii="Garamond" w:eastAsiaTheme="minorEastAsia" w:hAnsi="Garamond" w:cs="Arial"/>
          <w:sz w:val="22"/>
          <w:szCs w:val="22"/>
        </w:rPr>
        <w:t xml:space="preserve"> </w:t>
      </w:r>
    </w:p>
    <w:p w14:paraId="24108414" w14:textId="6E478E3D" w:rsidR="00D16D00" w:rsidRPr="00BE0FFA" w:rsidRDefault="00D16D00" w:rsidP="00D826CF">
      <w:pPr>
        <w:ind w:firstLine="720"/>
        <w:jc w:val="both"/>
        <w:rPr>
          <w:rFonts w:ascii="Garamond" w:eastAsiaTheme="minorEastAsia" w:hAnsi="Garamond" w:cs="Arial"/>
          <w:sz w:val="22"/>
          <w:szCs w:val="22"/>
        </w:rPr>
      </w:pPr>
    </w:p>
    <w:p w14:paraId="75A492E5" w14:textId="74E22E20" w:rsidR="00D16D00" w:rsidRPr="00BE0FFA" w:rsidRDefault="00D16D00">
      <w:pPr>
        <w:pStyle w:val="FootnoteText"/>
        <w:rPr>
          <w:rFonts w:ascii="Garamond" w:hAnsi="Garamond" w:cs="Arial"/>
          <w:sz w:val="22"/>
          <w:szCs w:val="22"/>
        </w:rPr>
      </w:pPr>
    </w:p>
  </w:footnote>
  <w:footnote w:id="14">
    <w:p w14:paraId="0391486B" w14:textId="26491154" w:rsidR="00D16D00" w:rsidRPr="00A05183" w:rsidRDefault="00D16D00">
      <w:pPr>
        <w:pStyle w:val="FootnoteText"/>
        <w:rPr>
          <w:rFonts w:ascii="Garamond" w:hAnsi="Garamond"/>
          <w:sz w:val="22"/>
          <w:szCs w:val="22"/>
        </w:rPr>
      </w:pPr>
      <w:r w:rsidRPr="00BE0FFA">
        <w:rPr>
          <w:rStyle w:val="FootnoteReference"/>
          <w:rFonts w:ascii="Garamond" w:hAnsi="Garamond"/>
          <w:sz w:val="22"/>
          <w:szCs w:val="22"/>
        </w:rPr>
        <w:footnoteRef/>
      </w:r>
      <w:r w:rsidRPr="00BE0FFA">
        <w:rPr>
          <w:rFonts w:ascii="Garamond" w:hAnsi="Garamond"/>
          <w:sz w:val="22"/>
          <w:szCs w:val="22"/>
        </w:rPr>
        <w:t xml:space="preserve"> For example, Heating Oil futures contracts may be used as a proxy for jet fuel.  Likewise, gasoline blenders may use RBOB as a proxy hedge for Reformate, </w:t>
      </w:r>
      <w:proofErr w:type="spellStart"/>
      <w:r w:rsidRPr="00BE0FFA">
        <w:rPr>
          <w:rFonts w:ascii="Garamond" w:hAnsi="Garamond"/>
          <w:sz w:val="22"/>
          <w:szCs w:val="22"/>
        </w:rPr>
        <w:t>Sabinate</w:t>
      </w:r>
      <w:proofErr w:type="spellEnd"/>
      <w:r w:rsidRPr="00BE0FFA">
        <w:rPr>
          <w:rFonts w:ascii="Garamond" w:hAnsi="Garamond"/>
          <w:sz w:val="22"/>
          <w:szCs w:val="22"/>
        </w:rPr>
        <w:t xml:space="preserve">, </w:t>
      </w:r>
      <w:proofErr w:type="spellStart"/>
      <w:r w:rsidRPr="00BE0FFA">
        <w:rPr>
          <w:rFonts w:ascii="Garamond" w:hAnsi="Garamond"/>
          <w:sz w:val="22"/>
          <w:szCs w:val="22"/>
        </w:rPr>
        <w:t>Naphta</w:t>
      </w:r>
      <w:proofErr w:type="spellEnd"/>
      <w:r w:rsidRPr="00BE0FFA">
        <w:rPr>
          <w:rFonts w:ascii="Garamond" w:hAnsi="Garamond"/>
          <w:sz w:val="22"/>
          <w:szCs w:val="22"/>
        </w:rPr>
        <w:t xml:space="preserve"> (various types), Alkylate, Butane, </w:t>
      </w:r>
      <w:proofErr w:type="spellStart"/>
      <w:r w:rsidRPr="00BE0FFA">
        <w:rPr>
          <w:rFonts w:ascii="Garamond" w:hAnsi="Garamond"/>
          <w:sz w:val="22"/>
          <w:szCs w:val="22"/>
        </w:rPr>
        <w:t>Catgas</w:t>
      </w:r>
      <w:proofErr w:type="spellEnd"/>
      <w:r w:rsidRPr="00BE0FFA">
        <w:rPr>
          <w:rFonts w:ascii="Garamond" w:hAnsi="Garamond"/>
          <w:sz w:val="22"/>
          <w:szCs w:val="22"/>
        </w:rPr>
        <w:t xml:space="preserve">, </w:t>
      </w:r>
      <w:proofErr w:type="spellStart"/>
      <w:r w:rsidRPr="00BE0FFA">
        <w:rPr>
          <w:rFonts w:ascii="Garamond" w:hAnsi="Garamond"/>
          <w:sz w:val="22"/>
          <w:szCs w:val="22"/>
        </w:rPr>
        <w:t>Raffinate</w:t>
      </w:r>
      <w:proofErr w:type="spellEnd"/>
      <w:r w:rsidRPr="00BE0FFA">
        <w:rPr>
          <w:rFonts w:ascii="Garamond" w:hAnsi="Garamond"/>
          <w:sz w:val="22"/>
          <w:szCs w:val="22"/>
        </w:rPr>
        <w:t xml:space="preserve">, PBOB, CBOB, EBOB, and </w:t>
      </w:r>
      <w:proofErr w:type="spellStart"/>
      <w:r w:rsidRPr="00BE0FFA">
        <w:rPr>
          <w:rFonts w:ascii="Garamond" w:hAnsi="Garamond"/>
          <w:sz w:val="22"/>
          <w:szCs w:val="22"/>
        </w:rPr>
        <w:t>Eurograde</w:t>
      </w:r>
      <w:proofErr w:type="spellEnd"/>
      <w:r w:rsidRPr="00BE0FFA">
        <w:rPr>
          <w:rFonts w:ascii="Garamond" w:hAnsi="Garamond"/>
          <w:sz w:val="22"/>
          <w:szCs w:val="22"/>
        </w:rPr>
        <w:t xml:space="preserve"> gasoline.  West Texas Intermediate (“WTI”) crude oil futures contracts are often used as a proxy for numerous grades of crude oil that is produced in North America, and more recently with the repeal of the U.S. oil export ban, oil blenders and refineries globally are using WTI as a proxy hedge against various grades of global crude types.</w:t>
      </w:r>
    </w:p>
  </w:footnote>
  <w:footnote w:id="15">
    <w:p w14:paraId="6653CFD9" w14:textId="77777777" w:rsidR="00D16D00" w:rsidRPr="00A05183" w:rsidRDefault="00D16D00" w:rsidP="00F835AC">
      <w:pPr>
        <w:pStyle w:val="FootnoteText"/>
        <w:rPr>
          <w:rFonts w:ascii="Garamond" w:hAnsi="Garamond"/>
          <w:sz w:val="22"/>
          <w:szCs w:val="22"/>
        </w:rPr>
      </w:pPr>
      <w:r w:rsidRPr="00A05183">
        <w:rPr>
          <w:rStyle w:val="FootnoteReference"/>
          <w:rFonts w:ascii="Garamond" w:hAnsi="Garamond"/>
          <w:sz w:val="22"/>
          <w:szCs w:val="22"/>
        </w:rPr>
        <w:footnoteRef/>
      </w:r>
      <w:r w:rsidRPr="00A05183">
        <w:rPr>
          <w:rFonts w:ascii="Garamond" w:hAnsi="Garamond"/>
          <w:sz w:val="22"/>
          <w:szCs w:val="22"/>
        </w:rPr>
        <w:t xml:space="preserve"> </w:t>
      </w:r>
      <w:r w:rsidRPr="00A05183">
        <w:rPr>
          <w:rFonts w:ascii="Garamond" w:hAnsi="Garamond"/>
          <w:i/>
          <w:sz w:val="22"/>
          <w:szCs w:val="22"/>
        </w:rPr>
        <w:t xml:space="preserve">See </w:t>
      </w:r>
      <w:r w:rsidRPr="00A05183">
        <w:rPr>
          <w:rFonts w:ascii="Garamond" w:hAnsi="Garamond"/>
          <w:sz w:val="22"/>
          <w:szCs w:val="22"/>
        </w:rPr>
        <w:t>2013 Proposed Rule at 75717.</w:t>
      </w:r>
    </w:p>
  </w:footnote>
  <w:footnote w:id="16">
    <w:p w14:paraId="7AB4886C" w14:textId="0EE6C6C4" w:rsidR="00D16D00" w:rsidRPr="00A05183" w:rsidRDefault="00D16D00" w:rsidP="00DB4FC4">
      <w:pPr>
        <w:pStyle w:val="FootnoteText"/>
        <w:rPr>
          <w:rFonts w:ascii="Garamond" w:hAnsi="Garamond"/>
          <w:sz w:val="22"/>
          <w:szCs w:val="22"/>
        </w:rPr>
      </w:pPr>
      <w:r w:rsidRPr="00A05183">
        <w:rPr>
          <w:rStyle w:val="FootnoteReference"/>
          <w:rFonts w:ascii="Garamond" w:hAnsi="Garamond"/>
          <w:sz w:val="22"/>
          <w:szCs w:val="22"/>
        </w:rPr>
        <w:footnoteRef/>
      </w:r>
      <w:r w:rsidRPr="00A05183">
        <w:rPr>
          <w:rFonts w:ascii="Garamond" w:hAnsi="Garamond"/>
          <w:sz w:val="22"/>
          <w:szCs w:val="22"/>
        </w:rPr>
        <w:t xml:space="preserve"> </w:t>
      </w:r>
      <w:r w:rsidRPr="00A05183">
        <w:rPr>
          <w:rFonts w:ascii="Garamond" w:hAnsi="Garamond"/>
          <w:i/>
          <w:sz w:val="22"/>
          <w:szCs w:val="22"/>
        </w:rPr>
        <w:t xml:space="preserve">See </w:t>
      </w:r>
      <w:r w:rsidRPr="00A05183">
        <w:rPr>
          <w:rFonts w:ascii="Garamond" w:hAnsi="Garamond"/>
          <w:sz w:val="22"/>
          <w:szCs w:val="22"/>
        </w:rPr>
        <w:t xml:space="preserve">Supplemental Proposal at 38468 (“as the Commission has observed, ‘context is essential to determining the nature of any price risk that has been realized and could support the existence of a </w:t>
      </w:r>
      <w:r w:rsidRPr="00A05183">
        <w:rPr>
          <w:rFonts w:ascii="Garamond" w:hAnsi="Garamond"/>
          <w:i/>
          <w:sz w:val="22"/>
          <w:szCs w:val="22"/>
        </w:rPr>
        <w:t>bona fide</w:t>
      </w:r>
      <w:r w:rsidRPr="00A05183">
        <w:rPr>
          <w:rFonts w:ascii="Garamond" w:hAnsi="Garamond"/>
          <w:sz w:val="22"/>
          <w:szCs w:val="22"/>
        </w:rPr>
        <w:t xml:space="preserve"> hedge.’”). </w:t>
      </w:r>
    </w:p>
  </w:footnote>
  <w:footnote w:id="17">
    <w:p w14:paraId="1B93D5EF" w14:textId="06BFC047" w:rsidR="00D16D00" w:rsidRPr="00A05183" w:rsidRDefault="00D16D00" w:rsidP="0002733E">
      <w:pPr>
        <w:pStyle w:val="FootnoteText"/>
        <w:rPr>
          <w:rFonts w:ascii="Garamond" w:hAnsi="Garamond"/>
          <w:sz w:val="22"/>
          <w:szCs w:val="22"/>
        </w:rPr>
      </w:pPr>
      <w:r w:rsidRPr="00A05183">
        <w:rPr>
          <w:rStyle w:val="FootnoteReference"/>
          <w:rFonts w:ascii="Garamond" w:hAnsi="Garamond"/>
          <w:sz w:val="22"/>
          <w:szCs w:val="22"/>
        </w:rPr>
        <w:footnoteRef/>
      </w:r>
      <w:r w:rsidRPr="00A05183">
        <w:rPr>
          <w:rFonts w:ascii="Garamond" w:hAnsi="Garamond"/>
          <w:sz w:val="22"/>
          <w:szCs w:val="22"/>
        </w:rPr>
        <w:t xml:space="preserve"> </w:t>
      </w:r>
      <w:r w:rsidRPr="00A05183">
        <w:rPr>
          <w:rFonts w:ascii="Garamond" w:hAnsi="Garamond"/>
          <w:i/>
          <w:sz w:val="22"/>
          <w:szCs w:val="22"/>
        </w:rPr>
        <w:t xml:space="preserve">See </w:t>
      </w:r>
      <w:r w:rsidRPr="00A05183">
        <w:rPr>
          <w:rFonts w:ascii="Garamond" w:hAnsi="Garamond"/>
          <w:sz w:val="22"/>
          <w:szCs w:val="22"/>
        </w:rPr>
        <w:t>Supplemental Prop</w:t>
      </w:r>
      <w:r>
        <w:rPr>
          <w:rFonts w:ascii="Garamond" w:hAnsi="Garamond"/>
          <w:sz w:val="22"/>
          <w:szCs w:val="22"/>
        </w:rPr>
        <w:t>osal RFC</w:t>
      </w:r>
      <w:r w:rsidRPr="00A05183">
        <w:rPr>
          <w:rFonts w:ascii="Garamond" w:hAnsi="Garamond"/>
          <w:sz w:val="22"/>
          <w:szCs w:val="22"/>
        </w:rPr>
        <w:t xml:space="preserve"> 20.</w:t>
      </w:r>
    </w:p>
  </w:footnote>
  <w:footnote w:id="18">
    <w:p w14:paraId="5D91EFEF" w14:textId="77777777" w:rsidR="00D16D00" w:rsidRPr="004709E4" w:rsidRDefault="00D16D00" w:rsidP="00C6602A">
      <w:pPr>
        <w:pStyle w:val="FootnoteText"/>
        <w:rPr>
          <w:rFonts w:ascii="Garamond" w:hAnsi="Garamond"/>
          <w:b/>
          <w:sz w:val="22"/>
          <w:szCs w:val="22"/>
        </w:rPr>
      </w:pPr>
      <w:r w:rsidRPr="00A05183">
        <w:rPr>
          <w:rStyle w:val="FootnoteReference"/>
          <w:rFonts w:ascii="Garamond" w:hAnsi="Garamond"/>
          <w:sz w:val="22"/>
          <w:szCs w:val="22"/>
        </w:rPr>
        <w:footnoteRef/>
      </w:r>
      <w:r w:rsidRPr="00A05183">
        <w:rPr>
          <w:rFonts w:ascii="Garamond" w:hAnsi="Garamond"/>
          <w:sz w:val="22"/>
          <w:szCs w:val="22"/>
        </w:rPr>
        <w:t xml:space="preserve"> </w:t>
      </w:r>
      <w:r w:rsidRPr="00A05183">
        <w:rPr>
          <w:rFonts w:ascii="Garamond" w:hAnsi="Garamond"/>
          <w:i/>
          <w:sz w:val="22"/>
          <w:szCs w:val="22"/>
        </w:rPr>
        <w:t xml:space="preserve">See </w:t>
      </w:r>
      <w:r w:rsidRPr="00A05183">
        <w:rPr>
          <w:rFonts w:ascii="Garamond" w:hAnsi="Garamond"/>
          <w:sz w:val="22"/>
          <w:szCs w:val="22"/>
        </w:rPr>
        <w:t>CFTC Rule 1.3(z)(3)</w:t>
      </w:r>
      <w:r w:rsidRPr="00A05183">
        <w:rPr>
          <w:rFonts w:ascii="Garamond" w:hAnsi="Garamond"/>
          <w:i/>
          <w:sz w:val="22"/>
          <w:szCs w:val="22"/>
        </w:rPr>
        <w:t xml:space="preserve"> </w:t>
      </w:r>
      <w:r w:rsidRPr="00A05183">
        <w:rPr>
          <w:rFonts w:ascii="Garamond" w:hAnsi="Garamond"/>
          <w:sz w:val="22"/>
          <w:szCs w:val="22"/>
        </w:rPr>
        <w:t xml:space="preserve">(“A </w:t>
      </w:r>
      <w:r w:rsidRPr="00A05183">
        <w:rPr>
          <w:rFonts w:ascii="Garamond" w:hAnsi="Garamond"/>
          <w:i/>
          <w:sz w:val="22"/>
          <w:szCs w:val="22"/>
        </w:rPr>
        <w:t xml:space="preserve">bona fide </w:t>
      </w:r>
      <w:r w:rsidRPr="00A05183">
        <w:rPr>
          <w:rFonts w:ascii="Garamond" w:hAnsi="Garamond"/>
          <w:sz w:val="22"/>
          <w:szCs w:val="22"/>
        </w:rPr>
        <w:t xml:space="preserve">hedging position also includes the following specific positions, provided that, </w:t>
      </w:r>
      <w:r w:rsidRPr="00B5673F">
        <w:rPr>
          <w:rFonts w:ascii="Garamond" w:hAnsi="Garamond"/>
          <w:i/>
          <w:sz w:val="22"/>
          <w:szCs w:val="22"/>
        </w:rPr>
        <w:t xml:space="preserve">unless approved by a designated contract market or swap execution facility pursuant to </w:t>
      </w:r>
      <w:r w:rsidRPr="00B5673F">
        <w:rPr>
          <w:rFonts w:ascii="Garamond" w:hAnsi="Garamond" w:cs="Calibri"/>
          <w:i/>
          <w:sz w:val="22"/>
          <w:szCs w:val="22"/>
        </w:rPr>
        <w:t>§ 150.9</w:t>
      </w:r>
      <w:r w:rsidRPr="006E570C">
        <w:rPr>
          <w:rFonts w:ascii="Garamond" w:hAnsi="Garamond" w:cs="Calibri"/>
          <w:sz w:val="22"/>
          <w:szCs w:val="22"/>
        </w:rPr>
        <w:t>, no such</w:t>
      </w:r>
      <w:r w:rsidRPr="00BC2A9B">
        <w:rPr>
          <w:rFonts w:ascii="Garamond" w:hAnsi="Garamond" w:cs="Calibri"/>
          <w:sz w:val="22"/>
          <w:szCs w:val="22"/>
        </w:rPr>
        <w:t xml:space="preserve"> position is maintained in any physical-delivery commodity derivative contract during the lesser of the last five days of trading or t</w:t>
      </w:r>
      <w:r w:rsidRPr="00927E07">
        <w:rPr>
          <w:rFonts w:ascii="Garamond" w:hAnsi="Garamond" w:cs="Calibri"/>
          <w:sz w:val="22"/>
          <w:szCs w:val="22"/>
        </w:rPr>
        <w:t>he time period for the spot month in such physical-delivery contract”</w:t>
      </w:r>
      <w:r w:rsidRPr="00025523">
        <w:rPr>
          <w:rFonts w:ascii="Garamond" w:hAnsi="Garamond"/>
          <w:sz w:val="22"/>
          <w:szCs w:val="22"/>
        </w:rPr>
        <w:t>); and</w:t>
      </w:r>
      <w:r w:rsidRPr="00C76389">
        <w:rPr>
          <w:rFonts w:ascii="Garamond" w:hAnsi="Garamond"/>
          <w:i/>
          <w:sz w:val="22"/>
          <w:szCs w:val="22"/>
        </w:rPr>
        <w:t xml:space="preserve"> See Definition of Bona Fide Hedging and Related Reporting Requirements</w:t>
      </w:r>
      <w:r w:rsidRPr="00B5673F">
        <w:rPr>
          <w:rFonts w:ascii="Garamond" w:hAnsi="Garamond"/>
          <w:sz w:val="22"/>
          <w:szCs w:val="22"/>
        </w:rPr>
        <w:t xml:space="preserve">, 42 Fed. </w:t>
      </w:r>
      <w:proofErr w:type="gramStart"/>
      <w:r w:rsidRPr="00B5673F">
        <w:rPr>
          <w:rFonts w:ascii="Garamond" w:hAnsi="Garamond"/>
          <w:sz w:val="22"/>
          <w:szCs w:val="22"/>
        </w:rPr>
        <w:t>Reg. 42748 (Aug. 24, 1977) (“persons wishing to exceed such limits during the five last tr</w:t>
      </w:r>
      <w:r w:rsidRPr="00222BEB">
        <w:rPr>
          <w:rFonts w:ascii="Garamond" w:hAnsi="Garamond"/>
          <w:sz w:val="22"/>
          <w:szCs w:val="22"/>
        </w:rPr>
        <w:t xml:space="preserve">ading days may submit materials supporting classifications of the position as </w:t>
      </w:r>
      <w:r w:rsidRPr="00A24292">
        <w:rPr>
          <w:rFonts w:ascii="Garamond" w:hAnsi="Garamond"/>
          <w:i/>
          <w:sz w:val="22"/>
          <w:szCs w:val="22"/>
        </w:rPr>
        <w:t>bona fide</w:t>
      </w:r>
      <w:r w:rsidRPr="00A24292">
        <w:rPr>
          <w:rFonts w:ascii="Garamond" w:hAnsi="Garamond"/>
          <w:sz w:val="22"/>
          <w:szCs w:val="22"/>
        </w:rPr>
        <w:t xml:space="preserve"> hedging pursuant to [CFTC Rule 1.3(z)(3)].”).</w:t>
      </w:r>
      <w:proofErr w:type="gramEnd"/>
    </w:p>
  </w:footnote>
  <w:footnote w:id="19">
    <w:p w14:paraId="26824875" w14:textId="160B983A" w:rsidR="00D16D00" w:rsidRPr="00F00292" w:rsidRDefault="00D16D00" w:rsidP="00C6602A">
      <w:pPr>
        <w:widowControl w:val="0"/>
        <w:autoSpaceDE w:val="0"/>
        <w:autoSpaceDN w:val="0"/>
        <w:adjustRightInd w:val="0"/>
        <w:rPr>
          <w:rFonts w:ascii="Garamond" w:hAnsi="Garamond" w:cs="Calibri Bold Italic"/>
          <w:sz w:val="22"/>
          <w:szCs w:val="22"/>
        </w:rPr>
      </w:pPr>
      <w:r w:rsidRPr="00BE0FFA">
        <w:rPr>
          <w:rStyle w:val="FootnoteReference"/>
          <w:rFonts w:ascii="Garamond" w:hAnsi="Garamond"/>
          <w:sz w:val="22"/>
          <w:szCs w:val="22"/>
        </w:rPr>
        <w:footnoteRef/>
      </w:r>
      <w:r w:rsidRPr="00BE0FFA">
        <w:rPr>
          <w:rFonts w:ascii="Garamond" w:hAnsi="Garamond" w:cs="Calibri Bold Italic"/>
          <w:sz w:val="22"/>
          <w:szCs w:val="22"/>
        </w:rPr>
        <w:t xml:space="preserve"> For example, during the month of February, Merchant (“M”) enters into a contract to sell soybeans loaded</w:t>
      </w:r>
      <w:r w:rsidRPr="00BC2A9B">
        <w:rPr>
          <w:rFonts w:ascii="Garamond" w:hAnsi="Garamond" w:cs="Calibri Bold Italic"/>
          <w:sz w:val="22"/>
          <w:szCs w:val="22"/>
        </w:rPr>
        <w:t xml:space="preserve"> and in transit on a vesse</w:t>
      </w:r>
      <w:r w:rsidRPr="00927E07">
        <w:rPr>
          <w:rFonts w:ascii="Garamond" w:hAnsi="Garamond" w:cs="Calibri Bold Italic"/>
          <w:sz w:val="22"/>
          <w:szCs w:val="22"/>
        </w:rPr>
        <w:t xml:space="preserve">l shipping mid-April to an international buyer (“B”) at a floating price basis </w:t>
      </w:r>
      <w:r w:rsidR="007221F4">
        <w:rPr>
          <w:rFonts w:ascii="Garamond" w:hAnsi="Garamond" w:cs="Calibri Bold Italic"/>
          <w:sz w:val="22"/>
          <w:szCs w:val="22"/>
        </w:rPr>
        <w:t xml:space="preserve">to </w:t>
      </w:r>
      <w:r w:rsidRPr="00927E07">
        <w:rPr>
          <w:rFonts w:ascii="Garamond" w:hAnsi="Garamond" w:cs="Calibri Bold Italic"/>
          <w:sz w:val="22"/>
          <w:szCs w:val="22"/>
        </w:rPr>
        <w:t>the May soybean futures contract (“futures”).  B has the right to fix their floating price at any time prior to April 15.  Prior to April 15, the soybeans that will be lo</w:t>
      </w:r>
      <w:r w:rsidRPr="00C76389">
        <w:rPr>
          <w:rFonts w:ascii="Garamond" w:hAnsi="Garamond" w:cs="Calibri Bold Italic"/>
          <w:sz w:val="22"/>
          <w:szCs w:val="22"/>
        </w:rPr>
        <w:t>ad</w:t>
      </w:r>
      <w:r w:rsidRPr="001B6515">
        <w:rPr>
          <w:rFonts w:ascii="Garamond" w:hAnsi="Garamond" w:cs="Calibri Bold Italic"/>
          <w:sz w:val="22"/>
          <w:szCs w:val="22"/>
        </w:rPr>
        <w:t xml:space="preserve">ed out of the Gulf in the last half of April will need to be sourced from soybeans shipped via barge, rail, or truck.  Consequently, M will need to use March futures for supply protection.  However, since M’s best option for supply protection is via March </w:t>
      </w:r>
      <w:r w:rsidRPr="00B5673F">
        <w:rPr>
          <w:rFonts w:ascii="Garamond" w:hAnsi="Garamond" w:cs="Calibri Bold Italic"/>
          <w:sz w:val="22"/>
          <w:szCs w:val="22"/>
        </w:rPr>
        <w:t>futures and the sale commitment is priced basis to May futures, M is exposed to calendar spread risk.  In turn, M would need to buy the March futures and sell the May futures to manage this risk.</w:t>
      </w:r>
      <w:r w:rsidRPr="00F00292">
        <w:rPr>
          <w:rFonts w:ascii="Garamond" w:hAnsi="Garamond" w:cs="Calibri Bold Italic"/>
          <w:sz w:val="22"/>
          <w:szCs w:val="22"/>
        </w:rPr>
        <w:t xml:space="preserve">  As the</w:t>
      </w:r>
      <w:r>
        <w:rPr>
          <w:rFonts w:ascii="Garamond" w:hAnsi="Garamond" w:cs="Calibri Bold Italic"/>
          <w:sz w:val="22"/>
          <w:szCs w:val="22"/>
        </w:rPr>
        <w:t xml:space="preserve"> March contract approaches the first notice d</w:t>
      </w:r>
      <w:r w:rsidRPr="00F00292">
        <w:rPr>
          <w:rFonts w:ascii="Garamond" w:hAnsi="Garamond" w:cs="Calibri Bold Italic"/>
          <w:sz w:val="22"/>
          <w:szCs w:val="22"/>
        </w:rPr>
        <w:t xml:space="preserve">ay, M will evaluate whether: </w:t>
      </w:r>
      <w:r>
        <w:rPr>
          <w:rFonts w:ascii="Garamond" w:hAnsi="Garamond" w:cs="Calibri Bold Italic"/>
          <w:sz w:val="22"/>
          <w:szCs w:val="22"/>
        </w:rPr>
        <w:t>(</w:t>
      </w:r>
      <w:proofErr w:type="spellStart"/>
      <w:r w:rsidRPr="00F00292">
        <w:rPr>
          <w:rFonts w:ascii="Garamond" w:hAnsi="Garamond" w:cs="Calibri Bold Italic"/>
          <w:sz w:val="22"/>
          <w:szCs w:val="22"/>
        </w:rPr>
        <w:t>i</w:t>
      </w:r>
      <w:proofErr w:type="spellEnd"/>
      <w:r w:rsidRPr="00F00292">
        <w:rPr>
          <w:rFonts w:ascii="Garamond" w:hAnsi="Garamond" w:cs="Calibri Bold Italic"/>
          <w:sz w:val="22"/>
          <w:szCs w:val="22"/>
        </w:rPr>
        <w:t xml:space="preserve">) it is cheaper purchase soybeans in the cash market and to liquidate the March futures; or </w:t>
      </w:r>
      <w:r>
        <w:rPr>
          <w:rFonts w:ascii="Garamond" w:hAnsi="Garamond" w:cs="Calibri Bold Italic"/>
          <w:sz w:val="22"/>
          <w:szCs w:val="22"/>
        </w:rPr>
        <w:t>(</w:t>
      </w:r>
      <w:r w:rsidRPr="00F00292">
        <w:rPr>
          <w:rFonts w:ascii="Garamond" w:hAnsi="Garamond" w:cs="Calibri Bold Italic"/>
          <w:sz w:val="22"/>
          <w:szCs w:val="22"/>
        </w:rPr>
        <w:t>ii) to source soybeans by taking delivery of March futures.  If at any time during the delivery process M can buy the soybeans in the cash market below the delivery equivalent price (e.g. below the cost of exiting the futures position, loading the soybeans out, and delivering them to the vessel), M should be required to exit the futures position by the exchange.  However, as long as</w:t>
      </w:r>
      <w:r w:rsidRPr="00222BEB">
        <w:rPr>
          <w:rFonts w:ascii="Garamond" w:hAnsi="Garamond" w:cs="Calibri Bold Italic"/>
          <w:sz w:val="22"/>
          <w:szCs w:val="22"/>
        </w:rPr>
        <w:t xml:space="preserve"> sourcing soybeans through the delivery market remains cheaper than purchasing soybeans in the cash market, M needs the ability to continue to hold the March futures positions and to take delivery in order to fulfill its sale commitments.  Should the Commission prohibit the exchanges from granting NEBFH and spread exemptions during the last five days of trading, M in the above scenario would be forced to exit its March futures position before the last five days of trading.  Accordingly, M is unable to properly utilize the derivatives markets to manage these risks or to fulfill its sales commitments.  CMC believes that an exemption for the above scenario should be available via the NEBFH or spread exemption process in a final position limits rule to further enhance l</w:t>
      </w:r>
      <w:r w:rsidRPr="00A24292">
        <w:rPr>
          <w:rFonts w:ascii="Garamond" w:hAnsi="Garamond" w:cs="Calibri Bold Italic"/>
          <w:sz w:val="22"/>
          <w:szCs w:val="22"/>
        </w:rPr>
        <w:t xml:space="preserve">iquidity, convergence, and price discovery. </w:t>
      </w:r>
    </w:p>
  </w:footnote>
  <w:footnote w:id="20">
    <w:p w14:paraId="10051311" w14:textId="289FDE9A" w:rsidR="00D16D00" w:rsidRPr="00A05183" w:rsidRDefault="00D16D00">
      <w:pPr>
        <w:pStyle w:val="FootnoteText"/>
        <w:rPr>
          <w:rFonts w:ascii="Garamond" w:hAnsi="Garamond"/>
          <w:i/>
          <w:sz w:val="22"/>
          <w:szCs w:val="22"/>
        </w:rPr>
      </w:pPr>
      <w:r w:rsidRPr="00222BEB">
        <w:rPr>
          <w:rStyle w:val="FootnoteReference"/>
          <w:rFonts w:ascii="Garamond" w:hAnsi="Garamond"/>
          <w:sz w:val="22"/>
          <w:szCs w:val="22"/>
        </w:rPr>
        <w:footnoteRef/>
      </w:r>
      <w:r w:rsidRPr="00222BEB">
        <w:rPr>
          <w:rFonts w:ascii="Garamond" w:hAnsi="Garamond"/>
          <w:sz w:val="22"/>
          <w:szCs w:val="22"/>
        </w:rPr>
        <w:t xml:space="preserve"> </w:t>
      </w:r>
      <w:proofErr w:type="spellStart"/>
      <w:r w:rsidRPr="00222BEB">
        <w:rPr>
          <w:rFonts w:ascii="Garamond" w:hAnsi="Garamond"/>
          <w:sz w:val="22"/>
          <w:szCs w:val="22"/>
        </w:rPr>
        <w:t>Adjemian</w:t>
      </w:r>
      <w:proofErr w:type="spellEnd"/>
      <w:r w:rsidRPr="00222BEB">
        <w:rPr>
          <w:rFonts w:ascii="Garamond" w:hAnsi="Garamond"/>
          <w:sz w:val="22"/>
          <w:szCs w:val="22"/>
        </w:rPr>
        <w:t xml:space="preserve">, A.K., Garcia, P., Irwin, S., Smith, A., </w:t>
      </w:r>
      <w:r w:rsidRPr="00222BEB">
        <w:rPr>
          <w:rFonts w:ascii="Garamond" w:hAnsi="Garamond"/>
          <w:i/>
          <w:sz w:val="22"/>
          <w:szCs w:val="22"/>
        </w:rPr>
        <w:t xml:space="preserve">Non-Convergence in Domestic Commodity Futures markets: Causes, Consequences, and Remedies, </w:t>
      </w:r>
      <w:r w:rsidRPr="00A24292">
        <w:rPr>
          <w:rFonts w:ascii="Garamond" w:hAnsi="Garamond"/>
          <w:sz w:val="22"/>
          <w:szCs w:val="22"/>
        </w:rPr>
        <w:t>U.S. Department of Agriculture, Economic Research Service, Economic Information Bulletin No. 115, (Aug. 2011).</w:t>
      </w:r>
    </w:p>
  </w:footnote>
  <w:footnote w:id="21">
    <w:p w14:paraId="1BD5B987" w14:textId="2BA3B21B" w:rsidR="00D16D00" w:rsidRPr="00F00292" w:rsidRDefault="00D16D00">
      <w:pPr>
        <w:pStyle w:val="FootnoteText"/>
        <w:rPr>
          <w:rFonts w:ascii="Garamond" w:hAnsi="Garamond"/>
          <w:sz w:val="22"/>
          <w:szCs w:val="22"/>
        </w:rPr>
      </w:pPr>
      <w:r w:rsidRPr="00A05183">
        <w:rPr>
          <w:rStyle w:val="FootnoteReference"/>
          <w:rFonts w:ascii="Garamond" w:hAnsi="Garamond"/>
          <w:sz w:val="22"/>
          <w:szCs w:val="22"/>
        </w:rPr>
        <w:footnoteRef/>
      </w:r>
      <w:r w:rsidRPr="00A05183">
        <w:rPr>
          <w:rFonts w:ascii="Garamond" w:hAnsi="Garamond"/>
          <w:sz w:val="22"/>
          <w:szCs w:val="22"/>
        </w:rPr>
        <w:t xml:space="preserve"> </w:t>
      </w:r>
      <w:r w:rsidRPr="00A05183">
        <w:rPr>
          <w:rFonts w:ascii="Garamond" w:hAnsi="Garamond"/>
          <w:i/>
          <w:sz w:val="22"/>
          <w:szCs w:val="22"/>
        </w:rPr>
        <w:t>Id</w:t>
      </w:r>
      <w:r w:rsidRPr="00A05183">
        <w:rPr>
          <w:rFonts w:ascii="Garamond" w:hAnsi="Garamond"/>
          <w:sz w:val="22"/>
          <w:szCs w:val="22"/>
        </w:rPr>
        <w:t>.</w:t>
      </w:r>
    </w:p>
  </w:footnote>
  <w:footnote w:id="22">
    <w:p w14:paraId="36686440" w14:textId="27F57B84" w:rsidR="00D16D00" w:rsidRPr="00025523" w:rsidRDefault="00D16D00">
      <w:pPr>
        <w:pStyle w:val="FootnoteText"/>
        <w:rPr>
          <w:rFonts w:ascii="Garamond" w:hAnsi="Garamond"/>
          <w:sz w:val="22"/>
          <w:szCs w:val="22"/>
        </w:rPr>
      </w:pPr>
      <w:r w:rsidRPr="006E570C">
        <w:rPr>
          <w:rStyle w:val="FootnoteReference"/>
          <w:rFonts w:ascii="Garamond" w:hAnsi="Garamond"/>
          <w:sz w:val="22"/>
          <w:szCs w:val="22"/>
        </w:rPr>
        <w:footnoteRef/>
      </w:r>
      <w:r w:rsidRPr="00BC2A9B">
        <w:rPr>
          <w:rFonts w:ascii="Garamond" w:hAnsi="Garamond"/>
          <w:sz w:val="22"/>
          <w:szCs w:val="22"/>
        </w:rPr>
        <w:t xml:space="preserve"> </w:t>
      </w:r>
      <w:r w:rsidRPr="00927E07">
        <w:rPr>
          <w:rFonts w:ascii="Garamond" w:hAnsi="Garamond"/>
          <w:i/>
          <w:sz w:val="22"/>
          <w:szCs w:val="22"/>
        </w:rPr>
        <w:t xml:space="preserve">See </w:t>
      </w:r>
      <w:r w:rsidRPr="00025523">
        <w:rPr>
          <w:rFonts w:ascii="Garamond" w:hAnsi="Garamond"/>
          <w:sz w:val="22"/>
          <w:szCs w:val="22"/>
        </w:rPr>
        <w:t>Supplemental Proposal at 38476, 38509, 38511, and 38513.</w:t>
      </w:r>
    </w:p>
  </w:footnote>
  <w:footnote w:id="23">
    <w:p w14:paraId="581E76A4" w14:textId="62E12FF5" w:rsidR="00D16D00" w:rsidRPr="00F00292" w:rsidRDefault="00D16D00">
      <w:pPr>
        <w:pStyle w:val="FootnoteText"/>
        <w:rPr>
          <w:rFonts w:ascii="Garamond" w:hAnsi="Garamond"/>
          <w:sz w:val="22"/>
          <w:szCs w:val="22"/>
        </w:rPr>
      </w:pPr>
      <w:r w:rsidRPr="00C76389">
        <w:rPr>
          <w:rStyle w:val="FootnoteReference"/>
          <w:rFonts w:ascii="Garamond" w:hAnsi="Garamond"/>
          <w:sz w:val="22"/>
          <w:szCs w:val="22"/>
        </w:rPr>
        <w:footnoteRef/>
      </w:r>
      <w:r w:rsidRPr="001B6515">
        <w:rPr>
          <w:rFonts w:ascii="Garamond" w:hAnsi="Garamond"/>
          <w:sz w:val="22"/>
          <w:szCs w:val="22"/>
        </w:rPr>
        <w:t xml:space="preserve"> </w:t>
      </w:r>
      <w:proofErr w:type="gramStart"/>
      <w:r w:rsidRPr="00B5673F">
        <w:rPr>
          <w:rFonts w:ascii="Garamond" w:hAnsi="Garamond"/>
          <w:i/>
          <w:sz w:val="22"/>
          <w:szCs w:val="22"/>
        </w:rPr>
        <w:t>Id.</w:t>
      </w:r>
      <w:r w:rsidRPr="00F00292">
        <w:rPr>
          <w:rFonts w:ascii="Garamond" w:hAnsi="Garamond"/>
          <w:sz w:val="22"/>
          <w:szCs w:val="22"/>
        </w:rPr>
        <w:t xml:space="preserve"> at footnote 168.</w:t>
      </w:r>
      <w:proofErr w:type="gramEnd"/>
    </w:p>
  </w:footnote>
  <w:footnote w:id="24">
    <w:p w14:paraId="309F7EBF" w14:textId="08CFF691" w:rsidR="00D16D00" w:rsidRPr="00A24292" w:rsidRDefault="00D16D00">
      <w:pPr>
        <w:pStyle w:val="FootnoteText"/>
        <w:rPr>
          <w:rFonts w:ascii="Garamond" w:hAnsi="Garamond"/>
          <w:sz w:val="22"/>
          <w:szCs w:val="22"/>
        </w:rPr>
      </w:pPr>
      <w:r w:rsidRPr="00222BEB">
        <w:rPr>
          <w:rStyle w:val="FootnoteReference"/>
          <w:rFonts w:ascii="Garamond" w:hAnsi="Garamond"/>
          <w:sz w:val="22"/>
          <w:szCs w:val="22"/>
        </w:rPr>
        <w:footnoteRef/>
      </w:r>
      <w:r w:rsidRPr="00222BEB">
        <w:rPr>
          <w:rFonts w:ascii="Garamond" w:hAnsi="Garamond"/>
          <w:sz w:val="22"/>
          <w:szCs w:val="22"/>
        </w:rPr>
        <w:t xml:space="preserve"> </w:t>
      </w:r>
      <w:r w:rsidRPr="00222BEB">
        <w:rPr>
          <w:rFonts w:ascii="Garamond" w:hAnsi="Garamond"/>
          <w:i/>
          <w:sz w:val="22"/>
          <w:szCs w:val="22"/>
        </w:rPr>
        <w:t xml:space="preserve">See </w:t>
      </w:r>
      <w:r w:rsidRPr="0033041A">
        <w:rPr>
          <w:rFonts w:ascii="Garamond" w:hAnsi="Garamond"/>
          <w:sz w:val="22"/>
          <w:szCs w:val="22"/>
        </w:rPr>
        <w:t>ICE Letter to CFTC (July 13, 2016).</w:t>
      </w:r>
    </w:p>
  </w:footnote>
  <w:footnote w:id="25">
    <w:p w14:paraId="6F4ABA48" w14:textId="7160DCDB" w:rsidR="00D16D00" w:rsidRPr="00906650" w:rsidRDefault="00D16D00">
      <w:pPr>
        <w:pStyle w:val="FootnoteText"/>
        <w:rPr>
          <w:rFonts w:ascii="Garamond" w:hAnsi="Garamond"/>
          <w:sz w:val="22"/>
          <w:szCs w:val="22"/>
        </w:rPr>
      </w:pPr>
      <w:r w:rsidRPr="00A24292">
        <w:rPr>
          <w:rStyle w:val="FootnoteReference"/>
          <w:rFonts w:ascii="Garamond" w:hAnsi="Garamond"/>
          <w:sz w:val="22"/>
          <w:szCs w:val="22"/>
        </w:rPr>
        <w:footnoteRef/>
      </w:r>
      <w:r w:rsidRPr="00A24292">
        <w:rPr>
          <w:rFonts w:ascii="Garamond" w:hAnsi="Garamond"/>
          <w:sz w:val="22"/>
          <w:szCs w:val="22"/>
        </w:rPr>
        <w:t xml:space="preserve"> </w:t>
      </w:r>
      <w:r w:rsidRPr="004709E4">
        <w:rPr>
          <w:rFonts w:ascii="Garamond" w:hAnsi="Garamond"/>
          <w:i/>
          <w:sz w:val="22"/>
          <w:szCs w:val="22"/>
        </w:rPr>
        <w:t xml:space="preserve">See </w:t>
      </w:r>
      <w:r w:rsidRPr="002A4C5D">
        <w:rPr>
          <w:rFonts w:ascii="Garamond" w:hAnsi="Garamond"/>
          <w:sz w:val="22"/>
          <w:szCs w:val="22"/>
        </w:rPr>
        <w:t>Supplemental Proposal at 38479-38480</w:t>
      </w:r>
      <w:r w:rsidRPr="00906650">
        <w:rPr>
          <w:rFonts w:ascii="Garamond" w:hAnsi="Garamond" w:cs="Calibri Bold Italic"/>
          <w:sz w:val="22"/>
          <w:szCs w:val="22"/>
        </w:rPr>
        <w:t>.</w:t>
      </w:r>
    </w:p>
  </w:footnote>
  <w:footnote w:id="26">
    <w:p w14:paraId="6ABE837C" w14:textId="0BEA028F" w:rsidR="00D16D00" w:rsidRPr="00A05183" w:rsidRDefault="00D16D00">
      <w:pPr>
        <w:pStyle w:val="FootnoteText"/>
        <w:rPr>
          <w:rFonts w:ascii="Garamond" w:hAnsi="Garamond"/>
          <w:sz w:val="22"/>
          <w:szCs w:val="22"/>
        </w:rPr>
      </w:pPr>
      <w:r w:rsidRPr="00A05183">
        <w:rPr>
          <w:rStyle w:val="FootnoteReference"/>
          <w:rFonts w:ascii="Garamond" w:hAnsi="Garamond"/>
          <w:sz w:val="22"/>
          <w:szCs w:val="22"/>
        </w:rPr>
        <w:footnoteRef/>
      </w:r>
      <w:r w:rsidRPr="00A05183">
        <w:rPr>
          <w:rFonts w:ascii="Garamond" w:hAnsi="Garamond"/>
          <w:sz w:val="22"/>
          <w:szCs w:val="22"/>
        </w:rPr>
        <w:t xml:space="preserve"> </w:t>
      </w:r>
      <w:r w:rsidRPr="00A05183">
        <w:rPr>
          <w:rFonts w:ascii="Garamond" w:hAnsi="Garamond"/>
          <w:i/>
          <w:sz w:val="22"/>
          <w:szCs w:val="22"/>
        </w:rPr>
        <w:t xml:space="preserve">See </w:t>
      </w:r>
      <w:r w:rsidRPr="00A05183">
        <w:rPr>
          <w:rFonts w:ascii="Garamond" w:hAnsi="Garamond"/>
          <w:sz w:val="22"/>
          <w:szCs w:val="22"/>
        </w:rPr>
        <w:t>Supplemental Proposal RFC 23</w:t>
      </w:r>
      <w:r w:rsidRPr="00A05183">
        <w:rPr>
          <w:rFonts w:ascii="Garamond" w:hAnsi="Garamond" w:cs="Calibri Bold Italic"/>
          <w:sz w:val="22"/>
          <w:szCs w:val="22"/>
        </w:rPr>
        <w:t>.</w:t>
      </w:r>
    </w:p>
  </w:footnote>
  <w:footnote w:id="27">
    <w:p w14:paraId="0620CA9A" w14:textId="720A4756" w:rsidR="00D16D00" w:rsidRPr="00A05183" w:rsidRDefault="00D16D00">
      <w:pPr>
        <w:pStyle w:val="FootnoteText"/>
        <w:rPr>
          <w:rFonts w:ascii="Garamond" w:hAnsi="Garamond"/>
          <w:sz w:val="22"/>
          <w:szCs w:val="22"/>
        </w:rPr>
      </w:pPr>
      <w:r w:rsidRPr="00A05183">
        <w:rPr>
          <w:rStyle w:val="FootnoteReference"/>
          <w:rFonts w:ascii="Garamond" w:hAnsi="Garamond"/>
          <w:sz w:val="22"/>
          <w:szCs w:val="22"/>
        </w:rPr>
        <w:footnoteRef/>
      </w:r>
      <w:r w:rsidRPr="00A05183">
        <w:rPr>
          <w:rFonts w:ascii="Garamond" w:hAnsi="Garamond"/>
          <w:sz w:val="22"/>
          <w:szCs w:val="22"/>
        </w:rPr>
        <w:t xml:space="preserve"> </w:t>
      </w:r>
      <w:r w:rsidRPr="00A05183">
        <w:rPr>
          <w:rFonts w:ascii="Garamond" w:hAnsi="Garamond"/>
          <w:i/>
          <w:sz w:val="22"/>
          <w:szCs w:val="22"/>
        </w:rPr>
        <w:t xml:space="preserve">See </w:t>
      </w:r>
      <w:r w:rsidRPr="00A05183">
        <w:rPr>
          <w:rFonts w:ascii="Garamond" w:hAnsi="Garamond"/>
          <w:sz w:val="22"/>
          <w:szCs w:val="22"/>
        </w:rPr>
        <w:t>Supplemental Proposal RFC 24</w:t>
      </w:r>
      <w:r w:rsidRPr="00A05183">
        <w:rPr>
          <w:rFonts w:ascii="Garamond" w:hAnsi="Garamond" w:cs="Calibri Bold Italic"/>
          <w:sz w:val="22"/>
          <w:szCs w:val="22"/>
        </w:rPr>
        <w:t>.</w:t>
      </w:r>
    </w:p>
  </w:footnote>
  <w:footnote w:id="28">
    <w:p w14:paraId="05326097" w14:textId="77777777" w:rsidR="00D16D00" w:rsidRPr="00A05183" w:rsidRDefault="00D16D00" w:rsidP="0041797A">
      <w:pPr>
        <w:pStyle w:val="FootnoteText"/>
        <w:rPr>
          <w:rFonts w:ascii="Garamond" w:hAnsi="Garamond"/>
          <w:sz w:val="22"/>
          <w:szCs w:val="22"/>
        </w:rPr>
      </w:pPr>
      <w:r w:rsidRPr="00A05183">
        <w:rPr>
          <w:rStyle w:val="FootnoteReference"/>
          <w:rFonts w:ascii="Garamond" w:hAnsi="Garamond"/>
          <w:sz w:val="22"/>
          <w:szCs w:val="22"/>
        </w:rPr>
        <w:footnoteRef/>
      </w:r>
      <w:r w:rsidRPr="00A05183">
        <w:rPr>
          <w:rFonts w:ascii="Garamond" w:hAnsi="Garamond"/>
          <w:sz w:val="22"/>
          <w:szCs w:val="22"/>
        </w:rPr>
        <w:t xml:space="preserve"> </w:t>
      </w:r>
      <w:r w:rsidRPr="00A05183">
        <w:rPr>
          <w:rFonts w:ascii="Garamond" w:hAnsi="Garamond"/>
          <w:i/>
          <w:sz w:val="22"/>
          <w:szCs w:val="22"/>
        </w:rPr>
        <w:t xml:space="preserve">See </w:t>
      </w:r>
      <w:r w:rsidRPr="00A05183">
        <w:rPr>
          <w:rFonts w:ascii="Garamond" w:hAnsi="Garamond"/>
          <w:sz w:val="22"/>
          <w:szCs w:val="22"/>
        </w:rPr>
        <w:t xml:space="preserve">FIA Letter to CFTC (July 13, 2016). </w:t>
      </w:r>
    </w:p>
  </w:footnote>
  <w:footnote w:id="29">
    <w:p w14:paraId="7DA25C30" w14:textId="209E4E81" w:rsidR="00D16D00" w:rsidRPr="00A05183" w:rsidRDefault="00D16D00">
      <w:pPr>
        <w:pStyle w:val="FootnoteText"/>
        <w:rPr>
          <w:rFonts w:ascii="Garamond" w:hAnsi="Garamond"/>
          <w:sz w:val="22"/>
          <w:szCs w:val="22"/>
        </w:rPr>
      </w:pPr>
      <w:r w:rsidRPr="00A05183">
        <w:rPr>
          <w:rStyle w:val="FootnoteReference"/>
          <w:rFonts w:ascii="Garamond" w:hAnsi="Garamond"/>
          <w:sz w:val="22"/>
          <w:szCs w:val="22"/>
        </w:rPr>
        <w:footnoteRef/>
      </w:r>
      <w:r w:rsidRPr="00A05183">
        <w:rPr>
          <w:rFonts w:ascii="Garamond" w:hAnsi="Garamond"/>
          <w:sz w:val="22"/>
          <w:szCs w:val="22"/>
        </w:rPr>
        <w:t xml:space="preserve"> </w:t>
      </w:r>
      <w:r w:rsidRPr="00A05183">
        <w:rPr>
          <w:rFonts w:ascii="Garamond" w:hAnsi="Garamond"/>
          <w:i/>
          <w:sz w:val="22"/>
          <w:szCs w:val="22"/>
        </w:rPr>
        <w:t xml:space="preserve">See </w:t>
      </w:r>
      <w:r w:rsidRPr="00A05183">
        <w:rPr>
          <w:rFonts w:ascii="Garamond" w:hAnsi="Garamond"/>
          <w:sz w:val="22"/>
          <w:szCs w:val="22"/>
        </w:rPr>
        <w:t>Supplemental Proposal RFC 17.</w:t>
      </w:r>
    </w:p>
  </w:footnote>
  <w:footnote w:id="30">
    <w:p w14:paraId="60BDEA08" w14:textId="4C517A86" w:rsidR="00D16D00" w:rsidRPr="00A24292" w:rsidRDefault="00D16D00" w:rsidP="00F5455D">
      <w:pPr>
        <w:pStyle w:val="FootnoteText"/>
        <w:rPr>
          <w:rFonts w:ascii="Garamond" w:hAnsi="Garamond"/>
          <w:sz w:val="22"/>
          <w:szCs w:val="22"/>
        </w:rPr>
      </w:pPr>
      <w:r w:rsidRPr="00A24292">
        <w:rPr>
          <w:rStyle w:val="FootnoteReference"/>
          <w:rFonts w:ascii="Garamond" w:hAnsi="Garamond"/>
          <w:sz w:val="22"/>
          <w:szCs w:val="22"/>
        </w:rPr>
        <w:footnoteRef/>
      </w:r>
      <w:r w:rsidRPr="00A24292">
        <w:rPr>
          <w:rFonts w:ascii="Garamond" w:hAnsi="Garamond"/>
          <w:sz w:val="22"/>
          <w:szCs w:val="22"/>
        </w:rPr>
        <w:t xml:space="preserve"> </w:t>
      </w:r>
      <w:r w:rsidRPr="00A24292">
        <w:rPr>
          <w:rFonts w:ascii="Garamond" w:hAnsi="Garamond"/>
          <w:i/>
          <w:sz w:val="22"/>
          <w:szCs w:val="22"/>
        </w:rPr>
        <w:t xml:space="preserve">See </w:t>
      </w:r>
      <w:r w:rsidRPr="00A24292">
        <w:rPr>
          <w:rFonts w:ascii="Garamond" w:hAnsi="Garamond"/>
          <w:sz w:val="22"/>
          <w:szCs w:val="22"/>
        </w:rPr>
        <w:t>ICE Letter to CFTC (July 13, 2016); and CME Letter to CFTC (July 13, 2016).</w:t>
      </w:r>
    </w:p>
  </w:footnote>
  <w:footnote w:id="31">
    <w:p w14:paraId="7F3F1574" w14:textId="119A140B" w:rsidR="00D16D00" w:rsidRPr="00A24292" w:rsidRDefault="00D16D00">
      <w:pPr>
        <w:pStyle w:val="FootnoteText"/>
        <w:rPr>
          <w:rFonts w:ascii="Garamond" w:hAnsi="Garamond"/>
          <w:sz w:val="22"/>
          <w:szCs w:val="22"/>
        </w:rPr>
      </w:pPr>
      <w:r w:rsidRPr="00A24292">
        <w:rPr>
          <w:rStyle w:val="FootnoteReference"/>
          <w:rFonts w:ascii="Garamond" w:hAnsi="Garamond"/>
          <w:sz w:val="22"/>
          <w:szCs w:val="22"/>
        </w:rPr>
        <w:footnoteRef/>
      </w:r>
      <w:r w:rsidRPr="00A24292">
        <w:rPr>
          <w:rFonts w:ascii="Garamond" w:hAnsi="Garamond"/>
          <w:sz w:val="22"/>
          <w:szCs w:val="22"/>
        </w:rPr>
        <w:t xml:space="preserve"> </w:t>
      </w:r>
      <w:r>
        <w:rPr>
          <w:rFonts w:ascii="Garamond" w:hAnsi="Garamond"/>
          <w:sz w:val="22"/>
          <w:szCs w:val="22"/>
        </w:rPr>
        <w:t xml:space="preserve">The Commission should utilize the expertise of the exchanges and authorize them to determine the information required in weekly reports. </w:t>
      </w:r>
    </w:p>
  </w:footnote>
  <w:footnote w:id="32">
    <w:p w14:paraId="65632541" w14:textId="25FC6D7D" w:rsidR="00D16D00" w:rsidRPr="00A24292" w:rsidRDefault="00D16D00">
      <w:pPr>
        <w:pStyle w:val="FootnoteText"/>
        <w:rPr>
          <w:rFonts w:ascii="Garamond" w:hAnsi="Garamond"/>
          <w:i/>
          <w:sz w:val="22"/>
          <w:szCs w:val="22"/>
        </w:rPr>
      </w:pPr>
      <w:r w:rsidRPr="00A24292">
        <w:rPr>
          <w:rStyle w:val="FootnoteReference"/>
          <w:rFonts w:ascii="Garamond" w:hAnsi="Garamond"/>
          <w:sz w:val="22"/>
          <w:szCs w:val="22"/>
        </w:rPr>
        <w:footnoteRef/>
      </w:r>
      <w:r w:rsidRPr="00A24292">
        <w:rPr>
          <w:rFonts w:ascii="Garamond" w:hAnsi="Garamond"/>
          <w:sz w:val="22"/>
          <w:szCs w:val="22"/>
        </w:rPr>
        <w:t xml:space="preserve"> </w:t>
      </w:r>
      <w:r w:rsidRPr="00A24292">
        <w:rPr>
          <w:rFonts w:ascii="Garamond" w:hAnsi="Garamond"/>
          <w:i/>
          <w:sz w:val="22"/>
          <w:szCs w:val="22"/>
        </w:rPr>
        <w:t xml:space="preserve">See </w:t>
      </w:r>
      <w:r w:rsidRPr="00A24292">
        <w:rPr>
          <w:rFonts w:ascii="Garamond" w:hAnsi="Garamond"/>
          <w:sz w:val="22"/>
          <w:szCs w:val="22"/>
        </w:rPr>
        <w:t>proposed CFTC Rules 150.5(a)(1), 150.2, and 150.3.</w:t>
      </w:r>
    </w:p>
  </w:footnote>
  <w:footnote w:id="33">
    <w:p w14:paraId="1F04C9AC" w14:textId="2E1A6E25" w:rsidR="00D16D00" w:rsidRPr="00906650" w:rsidRDefault="00D16D00">
      <w:pPr>
        <w:pStyle w:val="FootnoteText"/>
        <w:rPr>
          <w:rFonts w:ascii="Garamond" w:hAnsi="Garamond"/>
          <w:i/>
          <w:sz w:val="22"/>
          <w:szCs w:val="22"/>
        </w:rPr>
      </w:pPr>
      <w:r w:rsidRPr="00906650">
        <w:rPr>
          <w:rStyle w:val="FootnoteReference"/>
          <w:rFonts w:ascii="Garamond" w:hAnsi="Garamond"/>
          <w:sz w:val="22"/>
          <w:szCs w:val="22"/>
        </w:rPr>
        <w:footnoteRef/>
      </w:r>
      <w:r w:rsidRPr="00906650">
        <w:rPr>
          <w:rFonts w:ascii="Garamond" w:hAnsi="Garamond"/>
          <w:sz w:val="22"/>
          <w:szCs w:val="22"/>
        </w:rPr>
        <w:t xml:space="preserve"> </w:t>
      </w:r>
      <w:r w:rsidRPr="00906650">
        <w:rPr>
          <w:rFonts w:ascii="Garamond" w:hAnsi="Garamond"/>
          <w:i/>
          <w:sz w:val="22"/>
          <w:szCs w:val="22"/>
        </w:rPr>
        <w:t xml:space="preserve">See </w:t>
      </w:r>
      <w:r w:rsidRPr="00906650">
        <w:rPr>
          <w:rFonts w:ascii="Garamond" w:hAnsi="Garamond"/>
          <w:sz w:val="22"/>
          <w:szCs w:val="22"/>
        </w:rPr>
        <w:t>proposed CFTC Rules 150.10, and 150.11.</w:t>
      </w:r>
    </w:p>
  </w:footnote>
  <w:footnote w:id="34">
    <w:p w14:paraId="37D09EDD" w14:textId="73D81622" w:rsidR="00D16D00" w:rsidRPr="00A05183" w:rsidRDefault="00D16D00">
      <w:pPr>
        <w:pStyle w:val="FootnoteText"/>
        <w:rPr>
          <w:rFonts w:ascii="Garamond" w:hAnsi="Garamond"/>
          <w:sz w:val="22"/>
          <w:szCs w:val="22"/>
        </w:rPr>
      </w:pPr>
      <w:r w:rsidRPr="00A05183">
        <w:rPr>
          <w:rStyle w:val="FootnoteReference"/>
          <w:rFonts w:ascii="Garamond" w:hAnsi="Garamond"/>
          <w:sz w:val="22"/>
          <w:szCs w:val="22"/>
        </w:rPr>
        <w:footnoteRef/>
      </w:r>
      <w:r w:rsidRPr="00A05183">
        <w:rPr>
          <w:rFonts w:ascii="Garamond" w:hAnsi="Garamond"/>
          <w:sz w:val="22"/>
          <w:szCs w:val="22"/>
        </w:rPr>
        <w:t xml:space="preserve"> </w:t>
      </w:r>
      <w:r w:rsidRPr="00A05183">
        <w:rPr>
          <w:rFonts w:ascii="Garamond" w:hAnsi="Garamond"/>
          <w:i/>
          <w:sz w:val="22"/>
          <w:szCs w:val="22"/>
        </w:rPr>
        <w:t xml:space="preserve">See </w:t>
      </w:r>
      <w:r w:rsidRPr="00A05183">
        <w:rPr>
          <w:rFonts w:ascii="Garamond" w:hAnsi="Garamond"/>
          <w:sz w:val="22"/>
          <w:szCs w:val="22"/>
        </w:rPr>
        <w:t>proposed CFTC Rules 150.9(d), 150.10(d), and 150.11(d).</w:t>
      </w:r>
    </w:p>
  </w:footnote>
  <w:footnote w:id="35">
    <w:p w14:paraId="54A522AD" w14:textId="603EB08F" w:rsidR="00D16D00" w:rsidRPr="00A05183" w:rsidRDefault="00D16D00">
      <w:pPr>
        <w:pStyle w:val="FootnoteText"/>
        <w:rPr>
          <w:rFonts w:ascii="Garamond" w:hAnsi="Garamond"/>
          <w:sz w:val="22"/>
          <w:szCs w:val="22"/>
        </w:rPr>
      </w:pPr>
      <w:r w:rsidRPr="00A05183">
        <w:rPr>
          <w:rStyle w:val="FootnoteReference"/>
          <w:rFonts w:ascii="Garamond" w:hAnsi="Garamond"/>
          <w:sz w:val="22"/>
          <w:szCs w:val="22"/>
        </w:rPr>
        <w:footnoteRef/>
      </w:r>
      <w:r w:rsidRPr="00A05183">
        <w:rPr>
          <w:rFonts w:ascii="Garamond" w:hAnsi="Garamond"/>
          <w:sz w:val="22"/>
          <w:szCs w:val="22"/>
        </w:rPr>
        <w:t xml:space="preserve"> </w:t>
      </w:r>
      <w:r w:rsidRPr="00A05183">
        <w:rPr>
          <w:rFonts w:ascii="Garamond" w:hAnsi="Garamond"/>
          <w:i/>
          <w:sz w:val="22"/>
          <w:szCs w:val="22"/>
        </w:rPr>
        <w:t xml:space="preserve">See </w:t>
      </w:r>
      <w:r w:rsidRPr="00A05183">
        <w:rPr>
          <w:rFonts w:ascii="Garamond" w:hAnsi="Garamond"/>
          <w:sz w:val="22"/>
          <w:szCs w:val="22"/>
        </w:rPr>
        <w:t xml:space="preserve">Supplemental Proposal RFC </w:t>
      </w:r>
      <w:r w:rsidRPr="00A05183">
        <w:rPr>
          <w:rFonts w:ascii="Garamond" w:hAnsi="Garamond" w:cs="Calibri Bold Italic"/>
          <w:sz w:val="22"/>
          <w:szCs w:val="22"/>
        </w:rPr>
        <w:t>18.</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0BCDE4" w14:textId="77777777" w:rsidR="00D16D00" w:rsidRPr="00FF0AE9" w:rsidRDefault="00D16D00">
    <w:pPr>
      <w:pStyle w:val="Header"/>
      <w:rPr>
        <w:rFonts w:ascii="Garamond" w:hAnsi="Garamond"/>
        <w:sz w:val="22"/>
        <w:szCs w:val="22"/>
      </w:rPr>
    </w:pPr>
  </w:p>
  <w:p w14:paraId="1DE67A99" w14:textId="77777777" w:rsidR="00D16D00" w:rsidRPr="00FF0AE9" w:rsidRDefault="00D16D00">
    <w:pPr>
      <w:pStyle w:val="Header"/>
      <w:rPr>
        <w:rFonts w:ascii="Garamond" w:hAnsi="Garamond"/>
        <w:sz w:val="22"/>
        <w:szCs w:val="22"/>
      </w:rPr>
    </w:pPr>
    <w:r w:rsidRPr="00FF0AE9">
      <w:rPr>
        <w:rFonts w:ascii="Garamond" w:hAnsi="Garamond"/>
        <w:sz w:val="22"/>
        <w:szCs w:val="22"/>
      </w:rPr>
      <w:t>Commodity Markets Council</w:t>
    </w:r>
  </w:p>
  <w:p w14:paraId="2DFA0019" w14:textId="253BA85E" w:rsidR="00D16D00" w:rsidRPr="00FF0AE9" w:rsidRDefault="00D16D00">
    <w:pPr>
      <w:pStyle w:val="Header"/>
      <w:rPr>
        <w:rFonts w:ascii="Garamond" w:hAnsi="Garamond"/>
        <w:sz w:val="22"/>
        <w:szCs w:val="22"/>
      </w:rPr>
    </w:pPr>
    <w:r w:rsidRPr="00FF0AE9">
      <w:rPr>
        <w:rFonts w:ascii="Garamond" w:hAnsi="Garamond"/>
        <w:sz w:val="22"/>
        <w:szCs w:val="22"/>
      </w:rPr>
      <w:t>July 13, 2016</w:t>
    </w:r>
  </w:p>
  <w:p w14:paraId="6AE2819E" w14:textId="77777777" w:rsidR="00D16D00" w:rsidRPr="00FF0AE9" w:rsidRDefault="00D16D00">
    <w:pPr>
      <w:pStyle w:val="Header"/>
      <w:rPr>
        <w:rFonts w:ascii="Garamond" w:hAnsi="Garamond"/>
        <w:noProof/>
        <w:sz w:val="22"/>
        <w:szCs w:val="22"/>
      </w:rPr>
    </w:pPr>
    <w:r w:rsidRPr="00FF0AE9">
      <w:rPr>
        <w:rFonts w:ascii="Garamond" w:hAnsi="Garamond"/>
        <w:sz w:val="22"/>
        <w:szCs w:val="22"/>
      </w:rPr>
      <w:t xml:space="preserve">Page </w:t>
    </w:r>
    <w:r w:rsidRPr="00FF0AE9">
      <w:rPr>
        <w:rFonts w:ascii="Garamond" w:hAnsi="Garamond"/>
        <w:sz w:val="22"/>
        <w:szCs w:val="22"/>
      </w:rPr>
      <w:fldChar w:fldCharType="begin"/>
    </w:r>
    <w:r w:rsidRPr="00FF0AE9">
      <w:rPr>
        <w:rFonts w:ascii="Garamond" w:hAnsi="Garamond"/>
        <w:sz w:val="22"/>
        <w:szCs w:val="22"/>
      </w:rPr>
      <w:instrText xml:space="preserve"> PAGE </w:instrText>
    </w:r>
    <w:r w:rsidRPr="00FF0AE9">
      <w:rPr>
        <w:rFonts w:ascii="Garamond" w:hAnsi="Garamond"/>
        <w:sz w:val="22"/>
        <w:szCs w:val="22"/>
      </w:rPr>
      <w:fldChar w:fldCharType="separate"/>
    </w:r>
    <w:r w:rsidR="00BE0FFA">
      <w:rPr>
        <w:rFonts w:ascii="Garamond" w:hAnsi="Garamond"/>
        <w:noProof/>
        <w:sz w:val="22"/>
        <w:szCs w:val="22"/>
      </w:rPr>
      <w:t>14</w:t>
    </w:r>
    <w:r w:rsidRPr="00FF0AE9">
      <w:rPr>
        <w:rFonts w:ascii="Garamond" w:hAnsi="Garamond"/>
        <w:sz w:val="22"/>
        <w:szCs w:val="22"/>
      </w:rPr>
      <w:fldChar w:fldCharType="end"/>
    </w:r>
    <w:r w:rsidRPr="00FF0AE9">
      <w:rPr>
        <w:rFonts w:ascii="Garamond" w:hAnsi="Garamond"/>
        <w:sz w:val="22"/>
        <w:szCs w:val="22"/>
      </w:rPr>
      <w:t xml:space="preserve"> of </w:t>
    </w:r>
    <w:r w:rsidRPr="00FF0AE9">
      <w:rPr>
        <w:rFonts w:ascii="Garamond" w:hAnsi="Garamond"/>
        <w:sz w:val="22"/>
        <w:szCs w:val="22"/>
      </w:rPr>
      <w:fldChar w:fldCharType="begin"/>
    </w:r>
    <w:r w:rsidRPr="00FF0AE9">
      <w:rPr>
        <w:rFonts w:ascii="Garamond" w:hAnsi="Garamond"/>
        <w:sz w:val="22"/>
        <w:szCs w:val="22"/>
      </w:rPr>
      <w:instrText xml:space="preserve"> NUMPAGES </w:instrText>
    </w:r>
    <w:r w:rsidRPr="00FF0AE9">
      <w:rPr>
        <w:rFonts w:ascii="Garamond" w:hAnsi="Garamond"/>
        <w:sz w:val="22"/>
        <w:szCs w:val="22"/>
      </w:rPr>
      <w:fldChar w:fldCharType="separate"/>
    </w:r>
    <w:r w:rsidR="00BE0FFA">
      <w:rPr>
        <w:rFonts w:ascii="Garamond" w:hAnsi="Garamond"/>
        <w:noProof/>
        <w:sz w:val="22"/>
        <w:szCs w:val="22"/>
      </w:rPr>
      <w:t>15</w:t>
    </w:r>
    <w:r w:rsidRPr="00FF0AE9">
      <w:rPr>
        <w:rFonts w:ascii="Garamond" w:hAnsi="Garamond"/>
        <w:noProof/>
        <w:sz w:val="22"/>
        <w:szCs w:val="22"/>
      </w:rPr>
      <w:fldChar w:fldCharType="end"/>
    </w:r>
  </w:p>
  <w:p w14:paraId="0E936FA1" w14:textId="77777777" w:rsidR="00D16D00" w:rsidRDefault="00D16D00">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815" w:type="pct"/>
      <w:tblInd w:w="-892" w:type="dxa"/>
      <w:tblLook w:val="01E0" w:firstRow="1" w:lastRow="1" w:firstColumn="1" w:lastColumn="1" w:noHBand="0" w:noVBand="0"/>
    </w:tblPr>
    <w:tblGrid>
      <w:gridCol w:w="3197"/>
      <w:gridCol w:w="4900"/>
      <w:gridCol w:w="3040"/>
    </w:tblGrid>
    <w:tr w:rsidR="00D16D00" w14:paraId="0E2F90AB" w14:textId="77777777">
      <w:tc>
        <w:tcPr>
          <w:tcW w:w="1435" w:type="pct"/>
          <w:shd w:val="clear" w:color="auto" w:fill="auto"/>
        </w:tcPr>
        <w:p w14:paraId="24E9DFCA" w14:textId="77777777" w:rsidR="00D16D00" w:rsidRDefault="00D16D00">
          <w:pPr>
            <w:pStyle w:val="Header"/>
            <w:ind w:left="-8"/>
            <w:jc w:val="right"/>
          </w:pPr>
          <w:r>
            <w:rPr>
              <w:noProof/>
            </w:rPr>
            <w:drawing>
              <wp:inline distT="0" distB="0" distL="0" distR="0" wp14:anchorId="5DABE1A9" wp14:editId="25FCFB52">
                <wp:extent cx="1466850" cy="1133475"/>
                <wp:effectExtent l="0" t="0" r="0" b="9525"/>
                <wp:docPr id="1" name="Picture 1" descr="CMC-LOGO-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MC-LOGO-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1133475"/>
                        </a:xfrm>
                        <a:prstGeom prst="rect">
                          <a:avLst/>
                        </a:prstGeom>
                        <a:noFill/>
                        <a:ln>
                          <a:noFill/>
                        </a:ln>
                      </pic:spPr>
                    </pic:pic>
                  </a:graphicData>
                </a:graphic>
              </wp:inline>
            </w:drawing>
          </w:r>
        </w:p>
      </w:tc>
      <w:tc>
        <w:tcPr>
          <w:tcW w:w="2200" w:type="pct"/>
          <w:shd w:val="clear" w:color="auto" w:fill="auto"/>
        </w:tcPr>
        <w:p w14:paraId="3B3B1EA0" w14:textId="77777777" w:rsidR="00D16D00" w:rsidRPr="00FF0AE9" w:rsidRDefault="00D16D00">
          <w:pPr>
            <w:pStyle w:val="Header"/>
            <w:rPr>
              <w:rFonts w:ascii="Garamond" w:hAnsi="Garamond"/>
              <w:sz w:val="22"/>
              <w:szCs w:val="22"/>
            </w:rPr>
          </w:pPr>
        </w:p>
      </w:tc>
      <w:tc>
        <w:tcPr>
          <w:tcW w:w="1365" w:type="pct"/>
          <w:shd w:val="clear" w:color="auto" w:fill="auto"/>
        </w:tcPr>
        <w:p w14:paraId="6612BC96" w14:textId="77777777" w:rsidR="00D16D00" w:rsidRPr="00FF0AE9" w:rsidRDefault="00D16D00">
          <w:pPr>
            <w:pStyle w:val="Header"/>
            <w:rPr>
              <w:rFonts w:ascii="Garamond" w:hAnsi="Garamond" w:cs="Tahoma"/>
              <w:color w:val="808080"/>
              <w:sz w:val="22"/>
              <w:szCs w:val="22"/>
            </w:rPr>
          </w:pPr>
          <w:r w:rsidRPr="00FF0AE9">
            <w:rPr>
              <w:rFonts w:ascii="Garamond" w:hAnsi="Garamond" w:cs="Tahoma"/>
              <w:color w:val="808080"/>
              <w:sz w:val="22"/>
              <w:szCs w:val="22"/>
            </w:rPr>
            <w:t>Commodity Markets Council</w:t>
          </w:r>
        </w:p>
        <w:p w14:paraId="77D9A5DF" w14:textId="77777777" w:rsidR="00D16D00" w:rsidRPr="00FF0AE9" w:rsidRDefault="00D16D00">
          <w:pPr>
            <w:pStyle w:val="Header"/>
            <w:rPr>
              <w:rFonts w:ascii="Garamond" w:hAnsi="Garamond" w:cs="Tahoma"/>
              <w:color w:val="808080"/>
              <w:sz w:val="22"/>
              <w:szCs w:val="22"/>
            </w:rPr>
          </w:pPr>
          <w:r w:rsidRPr="00FF0AE9">
            <w:rPr>
              <w:rFonts w:ascii="Garamond" w:hAnsi="Garamond" w:cs="Tahoma"/>
              <w:color w:val="808080"/>
              <w:sz w:val="22"/>
              <w:szCs w:val="22"/>
            </w:rPr>
            <w:t>1300 L St., N.W.  Suite 1020</w:t>
          </w:r>
        </w:p>
        <w:p w14:paraId="73BD64FA" w14:textId="5E73CF5D" w:rsidR="00D16D00" w:rsidRPr="00FF0AE9" w:rsidRDefault="00D16D00">
          <w:pPr>
            <w:pStyle w:val="Header"/>
            <w:rPr>
              <w:rFonts w:ascii="Garamond" w:hAnsi="Garamond" w:cs="Tahoma"/>
              <w:color w:val="808080"/>
              <w:sz w:val="22"/>
              <w:szCs w:val="22"/>
            </w:rPr>
          </w:pPr>
          <w:r w:rsidRPr="00FF0AE9">
            <w:rPr>
              <w:rFonts w:ascii="Garamond" w:hAnsi="Garamond" w:cs="Tahoma"/>
              <w:color w:val="808080"/>
              <w:sz w:val="22"/>
              <w:szCs w:val="22"/>
            </w:rPr>
            <w:t>Washington, D</w:t>
          </w:r>
          <w:r>
            <w:rPr>
              <w:rFonts w:ascii="Garamond" w:hAnsi="Garamond" w:cs="Tahoma"/>
              <w:color w:val="808080"/>
              <w:sz w:val="22"/>
              <w:szCs w:val="22"/>
            </w:rPr>
            <w:t>.</w:t>
          </w:r>
          <w:r w:rsidRPr="00FF0AE9">
            <w:rPr>
              <w:rFonts w:ascii="Garamond" w:hAnsi="Garamond" w:cs="Tahoma"/>
              <w:color w:val="808080"/>
              <w:sz w:val="22"/>
              <w:szCs w:val="22"/>
            </w:rPr>
            <w:t>C</w:t>
          </w:r>
          <w:r>
            <w:rPr>
              <w:rFonts w:ascii="Garamond" w:hAnsi="Garamond" w:cs="Tahoma"/>
              <w:color w:val="808080"/>
              <w:sz w:val="22"/>
              <w:szCs w:val="22"/>
            </w:rPr>
            <w:t>.</w:t>
          </w:r>
          <w:r w:rsidRPr="00FF0AE9">
            <w:rPr>
              <w:rFonts w:ascii="Garamond" w:hAnsi="Garamond" w:cs="Tahoma"/>
              <w:color w:val="808080"/>
              <w:sz w:val="22"/>
              <w:szCs w:val="22"/>
            </w:rPr>
            <w:t xml:space="preserve"> 20005</w:t>
          </w:r>
        </w:p>
        <w:p w14:paraId="43D7CC85" w14:textId="77777777" w:rsidR="00D16D00" w:rsidRPr="00FF0AE9" w:rsidRDefault="00D16D00">
          <w:pPr>
            <w:pStyle w:val="Header"/>
            <w:rPr>
              <w:rFonts w:ascii="Garamond" w:hAnsi="Garamond" w:cs="Tahoma"/>
              <w:color w:val="808080"/>
              <w:sz w:val="22"/>
              <w:szCs w:val="22"/>
            </w:rPr>
          </w:pPr>
          <w:proofErr w:type="gramStart"/>
          <w:r w:rsidRPr="00FF0AE9">
            <w:rPr>
              <w:rFonts w:ascii="Garamond" w:hAnsi="Garamond" w:cs="Tahoma"/>
              <w:color w:val="808080"/>
              <w:sz w:val="22"/>
              <w:szCs w:val="22"/>
            </w:rPr>
            <w:t>Tel  202</w:t>
          </w:r>
          <w:proofErr w:type="gramEnd"/>
          <w:r w:rsidRPr="00FF0AE9">
            <w:rPr>
              <w:rFonts w:ascii="Garamond" w:hAnsi="Garamond" w:cs="Tahoma"/>
              <w:color w:val="808080"/>
              <w:sz w:val="22"/>
              <w:szCs w:val="22"/>
            </w:rPr>
            <w:t>-842-0400</w:t>
          </w:r>
        </w:p>
        <w:p w14:paraId="48CDF457" w14:textId="77777777" w:rsidR="00D16D00" w:rsidRPr="00FF0AE9" w:rsidRDefault="00D16D00">
          <w:pPr>
            <w:pStyle w:val="Header"/>
            <w:rPr>
              <w:rFonts w:ascii="Garamond" w:hAnsi="Garamond" w:cs="Tahoma"/>
              <w:color w:val="808080"/>
              <w:sz w:val="22"/>
              <w:szCs w:val="22"/>
            </w:rPr>
          </w:pPr>
          <w:r w:rsidRPr="00FF0AE9">
            <w:rPr>
              <w:rFonts w:ascii="Garamond" w:hAnsi="Garamond" w:cs="Tahoma"/>
              <w:color w:val="808080"/>
              <w:sz w:val="22"/>
              <w:szCs w:val="22"/>
            </w:rPr>
            <w:t>Fax 202-789-7223</w:t>
          </w:r>
        </w:p>
        <w:p w14:paraId="20238845" w14:textId="77777777" w:rsidR="00D16D00" w:rsidRPr="00FF0AE9" w:rsidRDefault="00D16D00">
          <w:pPr>
            <w:pStyle w:val="Header"/>
            <w:rPr>
              <w:rFonts w:ascii="Garamond" w:hAnsi="Garamond"/>
              <w:sz w:val="22"/>
              <w:szCs w:val="22"/>
            </w:rPr>
          </w:pPr>
          <w:r w:rsidRPr="00FF0AE9">
            <w:rPr>
              <w:rFonts w:ascii="Garamond" w:hAnsi="Garamond" w:cs="Tahoma"/>
              <w:color w:val="808080"/>
              <w:sz w:val="22"/>
              <w:szCs w:val="22"/>
            </w:rPr>
            <w:t>www.commoditymkts.org</w:t>
          </w:r>
        </w:p>
      </w:tc>
    </w:tr>
  </w:tbl>
  <w:p w14:paraId="51CD9C2E" w14:textId="77777777" w:rsidR="00D16D00" w:rsidRDefault="00D16D00">
    <w:pPr>
      <w:pStyle w:val="Header"/>
      <w:tabs>
        <w:tab w:val="clear" w:pos="4320"/>
        <w:tab w:val="clear" w:pos="8640"/>
        <w:tab w:val="left" w:pos="1559"/>
      </w:tabs>
    </w:pP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51055"/>
    <w:multiLevelType w:val="hybridMultilevel"/>
    <w:tmpl w:val="8A488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053B83"/>
    <w:multiLevelType w:val="hybridMultilevel"/>
    <w:tmpl w:val="8B7CA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B84676"/>
    <w:multiLevelType w:val="hybridMultilevel"/>
    <w:tmpl w:val="1228DB7C"/>
    <w:lvl w:ilvl="0" w:tplc="820A1BC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6A38E2"/>
    <w:multiLevelType w:val="hybridMultilevel"/>
    <w:tmpl w:val="FD94B7FC"/>
    <w:lvl w:ilvl="0" w:tplc="CB2CF06C">
      <w:start w:val="1"/>
      <w:numFmt w:val="upperRoman"/>
      <w:lvlText w:val="%1."/>
      <w:lvlJc w:val="left"/>
      <w:pPr>
        <w:ind w:left="720" w:hanging="360"/>
      </w:pPr>
      <w:rPr>
        <w:rFonts w:ascii="Calibri" w:eastAsia="Times New Roman" w:hAnsi="Calibri" w:cs="Times New Roman"/>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780B97"/>
    <w:multiLevelType w:val="hybridMultilevel"/>
    <w:tmpl w:val="91FA97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4511B72"/>
    <w:multiLevelType w:val="hybridMultilevel"/>
    <w:tmpl w:val="116E14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7F15E1"/>
    <w:multiLevelType w:val="hybridMultilevel"/>
    <w:tmpl w:val="39FE34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08B3180"/>
    <w:multiLevelType w:val="hybridMultilevel"/>
    <w:tmpl w:val="86AA972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0303B0"/>
    <w:multiLevelType w:val="hybridMultilevel"/>
    <w:tmpl w:val="325AF9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F9242F8"/>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0">
    <w:nsid w:val="33FF7DDF"/>
    <w:multiLevelType w:val="hybridMultilevel"/>
    <w:tmpl w:val="388EF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16F128F"/>
    <w:multiLevelType w:val="hybridMultilevel"/>
    <w:tmpl w:val="46EE7D38"/>
    <w:lvl w:ilvl="0" w:tplc="4C5A86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3E913A7"/>
    <w:multiLevelType w:val="hybridMultilevel"/>
    <w:tmpl w:val="2118FA6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9300341"/>
    <w:multiLevelType w:val="hybridMultilevel"/>
    <w:tmpl w:val="E7FE9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9434506"/>
    <w:multiLevelType w:val="hybridMultilevel"/>
    <w:tmpl w:val="8E8C3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9630D57"/>
    <w:multiLevelType w:val="hybridMultilevel"/>
    <w:tmpl w:val="C8C02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9CE1810"/>
    <w:multiLevelType w:val="hybridMultilevel"/>
    <w:tmpl w:val="EF425820"/>
    <w:lvl w:ilvl="0" w:tplc="068EB798">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4BA708DE"/>
    <w:multiLevelType w:val="hybridMultilevel"/>
    <w:tmpl w:val="033697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E373A07"/>
    <w:multiLevelType w:val="hybridMultilevel"/>
    <w:tmpl w:val="90E425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3FC0C4A"/>
    <w:multiLevelType w:val="hybridMultilevel"/>
    <w:tmpl w:val="25A23958"/>
    <w:lvl w:ilvl="0" w:tplc="F8E878C8">
      <w:start w:val="1"/>
      <w:numFmt w:val="bullet"/>
      <w:lvlText w:val=""/>
      <w:lvlJc w:val="left"/>
      <w:pPr>
        <w:tabs>
          <w:tab w:val="num" w:pos="2120"/>
        </w:tabs>
        <w:ind w:left="2120" w:hanging="360"/>
      </w:pPr>
      <w:rPr>
        <w:rFonts w:ascii="Wingdings" w:hAnsi="Wingdings" w:hint="default"/>
        <w:color w:val="auto"/>
      </w:rPr>
    </w:lvl>
    <w:lvl w:ilvl="1" w:tplc="04090003" w:tentative="1">
      <w:start w:val="1"/>
      <w:numFmt w:val="bullet"/>
      <w:lvlText w:val="o"/>
      <w:lvlJc w:val="left"/>
      <w:pPr>
        <w:tabs>
          <w:tab w:val="num" w:pos="2840"/>
        </w:tabs>
        <w:ind w:left="2840" w:hanging="360"/>
      </w:pPr>
      <w:rPr>
        <w:rFonts w:ascii="Courier New" w:hAnsi="Courier New" w:cs="Courier New" w:hint="default"/>
      </w:rPr>
    </w:lvl>
    <w:lvl w:ilvl="2" w:tplc="04090005" w:tentative="1">
      <w:start w:val="1"/>
      <w:numFmt w:val="bullet"/>
      <w:lvlText w:val=""/>
      <w:lvlJc w:val="left"/>
      <w:pPr>
        <w:tabs>
          <w:tab w:val="num" w:pos="3560"/>
        </w:tabs>
        <w:ind w:left="3560" w:hanging="360"/>
      </w:pPr>
      <w:rPr>
        <w:rFonts w:ascii="Wingdings" w:hAnsi="Wingdings" w:hint="default"/>
      </w:rPr>
    </w:lvl>
    <w:lvl w:ilvl="3" w:tplc="04090001" w:tentative="1">
      <w:start w:val="1"/>
      <w:numFmt w:val="bullet"/>
      <w:lvlText w:val=""/>
      <w:lvlJc w:val="left"/>
      <w:pPr>
        <w:tabs>
          <w:tab w:val="num" w:pos="4280"/>
        </w:tabs>
        <w:ind w:left="4280" w:hanging="360"/>
      </w:pPr>
      <w:rPr>
        <w:rFonts w:ascii="Symbol" w:hAnsi="Symbol" w:hint="default"/>
      </w:rPr>
    </w:lvl>
    <w:lvl w:ilvl="4" w:tplc="04090003" w:tentative="1">
      <w:start w:val="1"/>
      <w:numFmt w:val="bullet"/>
      <w:lvlText w:val="o"/>
      <w:lvlJc w:val="left"/>
      <w:pPr>
        <w:tabs>
          <w:tab w:val="num" w:pos="5000"/>
        </w:tabs>
        <w:ind w:left="5000" w:hanging="360"/>
      </w:pPr>
      <w:rPr>
        <w:rFonts w:ascii="Courier New" w:hAnsi="Courier New" w:cs="Courier New" w:hint="default"/>
      </w:rPr>
    </w:lvl>
    <w:lvl w:ilvl="5" w:tplc="04090005" w:tentative="1">
      <w:start w:val="1"/>
      <w:numFmt w:val="bullet"/>
      <w:lvlText w:val=""/>
      <w:lvlJc w:val="left"/>
      <w:pPr>
        <w:tabs>
          <w:tab w:val="num" w:pos="5720"/>
        </w:tabs>
        <w:ind w:left="5720" w:hanging="360"/>
      </w:pPr>
      <w:rPr>
        <w:rFonts w:ascii="Wingdings" w:hAnsi="Wingdings" w:hint="default"/>
      </w:rPr>
    </w:lvl>
    <w:lvl w:ilvl="6" w:tplc="04090001" w:tentative="1">
      <w:start w:val="1"/>
      <w:numFmt w:val="bullet"/>
      <w:lvlText w:val=""/>
      <w:lvlJc w:val="left"/>
      <w:pPr>
        <w:tabs>
          <w:tab w:val="num" w:pos="6440"/>
        </w:tabs>
        <w:ind w:left="6440" w:hanging="360"/>
      </w:pPr>
      <w:rPr>
        <w:rFonts w:ascii="Symbol" w:hAnsi="Symbol" w:hint="default"/>
      </w:rPr>
    </w:lvl>
    <w:lvl w:ilvl="7" w:tplc="04090003" w:tentative="1">
      <w:start w:val="1"/>
      <w:numFmt w:val="bullet"/>
      <w:lvlText w:val="o"/>
      <w:lvlJc w:val="left"/>
      <w:pPr>
        <w:tabs>
          <w:tab w:val="num" w:pos="7160"/>
        </w:tabs>
        <w:ind w:left="7160" w:hanging="360"/>
      </w:pPr>
      <w:rPr>
        <w:rFonts w:ascii="Courier New" w:hAnsi="Courier New" w:cs="Courier New" w:hint="default"/>
      </w:rPr>
    </w:lvl>
    <w:lvl w:ilvl="8" w:tplc="04090005" w:tentative="1">
      <w:start w:val="1"/>
      <w:numFmt w:val="bullet"/>
      <w:lvlText w:val=""/>
      <w:lvlJc w:val="left"/>
      <w:pPr>
        <w:tabs>
          <w:tab w:val="num" w:pos="7880"/>
        </w:tabs>
        <w:ind w:left="7880" w:hanging="360"/>
      </w:pPr>
      <w:rPr>
        <w:rFonts w:ascii="Wingdings" w:hAnsi="Wingdings" w:hint="default"/>
      </w:rPr>
    </w:lvl>
  </w:abstractNum>
  <w:abstractNum w:abstractNumId="20">
    <w:nsid w:val="658F6A1B"/>
    <w:multiLevelType w:val="hybridMultilevel"/>
    <w:tmpl w:val="E6C82CF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61B56CC"/>
    <w:multiLevelType w:val="hybridMultilevel"/>
    <w:tmpl w:val="3FBA18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67805A69"/>
    <w:multiLevelType w:val="hybridMultilevel"/>
    <w:tmpl w:val="03B827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6BD93CC5"/>
    <w:multiLevelType w:val="hybridMultilevel"/>
    <w:tmpl w:val="20FCEA9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4">
    <w:nsid w:val="6EF61262"/>
    <w:multiLevelType w:val="hybridMultilevel"/>
    <w:tmpl w:val="ED52133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19417AB"/>
    <w:multiLevelType w:val="hybridMultilevel"/>
    <w:tmpl w:val="99CCB70A"/>
    <w:lvl w:ilvl="0" w:tplc="04090001">
      <w:start w:val="1"/>
      <w:numFmt w:val="bullet"/>
      <w:lvlText w:val=""/>
      <w:lvlJc w:val="left"/>
      <w:pPr>
        <w:ind w:left="1060" w:hanging="360"/>
      </w:pPr>
      <w:rPr>
        <w:rFonts w:ascii="Symbol" w:hAnsi="Symbol" w:hint="default"/>
      </w:rPr>
    </w:lvl>
    <w:lvl w:ilvl="1" w:tplc="04090003">
      <w:start w:val="1"/>
      <w:numFmt w:val="bullet"/>
      <w:lvlText w:val="o"/>
      <w:lvlJc w:val="left"/>
      <w:pPr>
        <w:ind w:left="1780" w:hanging="360"/>
      </w:pPr>
      <w:rPr>
        <w:rFonts w:ascii="Courier New" w:hAnsi="Courier New" w:cs="Courier New" w:hint="default"/>
      </w:rPr>
    </w:lvl>
    <w:lvl w:ilvl="2" w:tplc="04090005">
      <w:start w:val="1"/>
      <w:numFmt w:val="bullet"/>
      <w:lvlText w:val=""/>
      <w:lvlJc w:val="left"/>
      <w:pPr>
        <w:ind w:left="2500" w:hanging="360"/>
      </w:pPr>
      <w:rPr>
        <w:rFonts w:ascii="Wingdings" w:hAnsi="Wingdings" w:hint="default"/>
      </w:rPr>
    </w:lvl>
    <w:lvl w:ilvl="3" w:tplc="04090001">
      <w:start w:val="1"/>
      <w:numFmt w:val="bullet"/>
      <w:lvlText w:val=""/>
      <w:lvlJc w:val="left"/>
      <w:pPr>
        <w:ind w:left="3220" w:hanging="360"/>
      </w:pPr>
      <w:rPr>
        <w:rFonts w:ascii="Symbol" w:hAnsi="Symbol" w:hint="default"/>
      </w:rPr>
    </w:lvl>
    <w:lvl w:ilvl="4" w:tplc="04090003">
      <w:start w:val="1"/>
      <w:numFmt w:val="bullet"/>
      <w:lvlText w:val="o"/>
      <w:lvlJc w:val="left"/>
      <w:pPr>
        <w:ind w:left="3940" w:hanging="360"/>
      </w:pPr>
      <w:rPr>
        <w:rFonts w:ascii="Courier New" w:hAnsi="Courier New" w:cs="Courier New" w:hint="default"/>
      </w:rPr>
    </w:lvl>
    <w:lvl w:ilvl="5" w:tplc="04090005">
      <w:start w:val="1"/>
      <w:numFmt w:val="bullet"/>
      <w:lvlText w:val=""/>
      <w:lvlJc w:val="left"/>
      <w:pPr>
        <w:ind w:left="4660" w:hanging="360"/>
      </w:pPr>
      <w:rPr>
        <w:rFonts w:ascii="Wingdings" w:hAnsi="Wingdings" w:hint="default"/>
      </w:rPr>
    </w:lvl>
    <w:lvl w:ilvl="6" w:tplc="04090001">
      <w:start w:val="1"/>
      <w:numFmt w:val="bullet"/>
      <w:lvlText w:val=""/>
      <w:lvlJc w:val="left"/>
      <w:pPr>
        <w:ind w:left="5380" w:hanging="360"/>
      </w:pPr>
      <w:rPr>
        <w:rFonts w:ascii="Symbol" w:hAnsi="Symbol" w:hint="default"/>
      </w:rPr>
    </w:lvl>
    <w:lvl w:ilvl="7" w:tplc="04090003">
      <w:start w:val="1"/>
      <w:numFmt w:val="bullet"/>
      <w:lvlText w:val="o"/>
      <w:lvlJc w:val="left"/>
      <w:pPr>
        <w:ind w:left="6100" w:hanging="360"/>
      </w:pPr>
      <w:rPr>
        <w:rFonts w:ascii="Courier New" w:hAnsi="Courier New" w:cs="Courier New" w:hint="default"/>
      </w:rPr>
    </w:lvl>
    <w:lvl w:ilvl="8" w:tplc="04090005">
      <w:start w:val="1"/>
      <w:numFmt w:val="bullet"/>
      <w:lvlText w:val=""/>
      <w:lvlJc w:val="left"/>
      <w:pPr>
        <w:ind w:left="6820" w:hanging="360"/>
      </w:pPr>
      <w:rPr>
        <w:rFonts w:ascii="Wingdings" w:hAnsi="Wingdings" w:hint="default"/>
      </w:rPr>
    </w:lvl>
  </w:abstractNum>
  <w:abstractNum w:abstractNumId="26">
    <w:nsid w:val="72046588"/>
    <w:multiLevelType w:val="hybridMultilevel"/>
    <w:tmpl w:val="B88A2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2BC76BB"/>
    <w:multiLevelType w:val="hybridMultilevel"/>
    <w:tmpl w:val="5DE8F924"/>
    <w:lvl w:ilvl="0" w:tplc="820A1BC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3253135"/>
    <w:multiLevelType w:val="hybridMultilevel"/>
    <w:tmpl w:val="20C692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771544CF"/>
    <w:multiLevelType w:val="hybridMultilevel"/>
    <w:tmpl w:val="EAE87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81A4092"/>
    <w:multiLevelType w:val="hybridMultilevel"/>
    <w:tmpl w:val="0246B8F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9"/>
  </w:num>
  <w:num w:numId="2">
    <w:abstractNumId w:val="16"/>
  </w:num>
  <w:num w:numId="3">
    <w:abstractNumId w:val="21"/>
  </w:num>
  <w:num w:numId="4">
    <w:abstractNumId w:val="25"/>
  </w:num>
  <w:num w:numId="5">
    <w:abstractNumId w:val="0"/>
  </w:num>
  <w:num w:numId="6">
    <w:abstractNumId w:val="24"/>
  </w:num>
  <w:num w:numId="7">
    <w:abstractNumId w:val="15"/>
  </w:num>
  <w:num w:numId="8">
    <w:abstractNumId w:val="11"/>
  </w:num>
  <w:num w:numId="9">
    <w:abstractNumId w:val="3"/>
  </w:num>
  <w:num w:numId="10">
    <w:abstractNumId w:val="6"/>
  </w:num>
  <w:num w:numId="11">
    <w:abstractNumId w:val="14"/>
  </w:num>
  <w:num w:numId="12">
    <w:abstractNumId w:val="10"/>
  </w:num>
  <w:num w:numId="13">
    <w:abstractNumId w:val="26"/>
  </w:num>
  <w:num w:numId="14">
    <w:abstractNumId w:val="8"/>
  </w:num>
  <w:num w:numId="15">
    <w:abstractNumId w:val="30"/>
  </w:num>
  <w:num w:numId="16">
    <w:abstractNumId w:val="29"/>
  </w:num>
  <w:num w:numId="17">
    <w:abstractNumId w:val="12"/>
  </w:num>
  <w:num w:numId="18">
    <w:abstractNumId w:val="28"/>
  </w:num>
  <w:num w:numId="19">
    <w:abstractNumId w:val="7"/>
  </w:num>
  <w:num w:numId="20">
    <w:abstractNumId w:val="20"/>
  </w:num>
  <w:num w:numId="21">
    <w:abstractNumId w:val="18"/>
  </w:num>
  <w:num w:numId="22">
    <w:abstractNumId w:val="22"/>
  </w:num>
  <w:num w:numId="23">
    <w:abstractNumId w:val="2"/>
  </w:num>
  <w:num w:numId="24">
    <w:abstractNumId w:val="27"/>
  </w:num>
  <w:num w:numId="25">
    <w:abstractNumId w:val="9"/>
  </w:num>
  <w:num w:numId="26">
    <w:abstractNumId w:val="23"/>
  </w:num>
  <w:num w:numId="27">
    <w:abstractNumId w:val="1"/>
  </w:num>
  <w:num w:numId="28">
    <w:abstractNumId w:val="13"/>
  </w:num>
  <w:num w:numId="29">
    <w:abstractNumId w:val="5"/>
  </w:num>
  <w:num w:numId="30">
    <w:abstractNumId w:val="4"/>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A41"/>
    <w:rsid w:val="00001528"/>
    <w:rsid w:val="000020BB"/>
    <w:rsid w:val="000038F7"/>
    <w:rsid w:val="00004038"/>
    <w:rsid w:val="0001176E"/>
    <w:rsid w:val="000133A9"/>
    <w:rsid w:val="00014271"/>
    <w:rsid w:val="00014640"/>
    <w:rsid w:val="00021A21"/>
    <w:rsid w:val="00022468"/>
    <w:rsid w:val="00023403"/>
    <w:rsid w:val="000251A5"/>
    <w:rsid w:val="00025523"/>
    <w:rsid w:val="0002733E"/>
    <w:rsid w:val="000316C4"/>
    <w:rsid w:val="00034390"/>
    <w:rsid w:val="00034A64"/>
    <w:rsid w:val="00036C1D"/>
    <w:rsid w:val="00042459"/>
    <w:rsid w:val="000440A7"/>
    <w:rsid w:val="000506C9"/>
    <w:rsid w:val="00050B43"/>
    <w:rsid w:val="00063F48"/>
    <w:rsid w:val="0006475F"/>
    <w:rsid w:val="00067439"/>
    <w:rsid w:val="00067743"/>
    <w:rsid w:val="00067A73"/>
    <w:rsid w:val="00071A38"/>
    <w:rsid w:val="00073A94"/>
    <w:rsid w:val="0007708E"/>
    <w:rsid w:val="0007713A"/>
    <w:rsid w:val="00082B50"/>
    <w:rsid w:val="00086708"/>
    <w:rsid w:val="000869E2"/>
    <w:rsid w:val="0009183D"/>
    <w:rsid w:val="00092342"/>
    <w:rsid w:val="00094C19"/>
    <w:rsid w:val="00097A84"/>
    <w:rsid w:val="000A190A"/>
    <w:rsid w:val="000A1F77"/>
    <w:rsid w:val="000A452C"/>
    <w:rsid w:val="000A7933"/>
    <w:rsid w:val="000B0E24"/>
    <w:rsid w:val="000B42DB"/>
    <w:rsid w:val="000B5235"/>
    <w:rsid w:val="000B7461"/>
    <w:rsid w:val="000C10D2"/>
    <w:rsid w:val="000C2187"/>
    <w:rsid w:val="000C4F6D"/>
    <w:rsid w:val="000D1B67"/>
    <w:rsid w:val="000D2929"/>
    <w:rsid w:val="000D2BCA"/>
    <w:rsid w:val="000D7CF7"/>
    <w:rsid w:val="000E06C4"/>
    <w:rsid w:val="000E38E3"/>
    <w:rsid w:val="000E3F3E"/>
    <w:rsid w:val="000E470E"/>
    <w:rsid w:val="000F25A3"/>
    <w:rsid w:val="001011B3"/>
    <w:rsid w:val="00101ACD"/>
    <w:rsid w:val="00103A52"/>
    <w:rsid w:val="00103ECA"/>
    <w:rsid w:val="00104AAE"/>
    <w:rsid w:val="0010734F"/>
    <w:rsid w:val="00107DCA"/>
    <w:rsid w:val="00111536"/>
    <w:rsid w:val="001151B6"/>
    <w:rsid w:val="0012382E"/>
    <w:rsid w:val="00125105"/>
    <w:rsid w:val="001304B7"/>
    <w:rsid w:val="001315B8"/>
    <w:rsid w:val="001340CF"/>
    <w:rsid w:val="0013467A"/>
    <w:rsid w:val="001351E6"/>
    <w:rsid w:val="0013730C"/>
    <w:rsid w:val="00142000"/>
    <w:rsid w:val="00144282"/>
    <w:rsid w:val="00144B52"/>
    <w:rsid w:val="00144D4F"/>
    <w:rsid w:val="00145528"/>
    <w:rsid w:val="001477AB"/>
    <w:rsid w:val="00151CBA"/>
    <w:rsid w:val="00155FC7"/>
    <w:rsid w:val="0015629D"/>
    <w:rsid w:val="00157B6E"/>
    <w:rsid w:val="00161A6D"/>
    <w:rsid w:val="00161EAD"/>
    <w:rsid w:val="00162823"/>
    <w:rsid w:val="00165F7D"/>
    <w:rsid w:val="00166C2B"/>
    <w:rsid w:val="00170F82"/>
    <w:rsid w:val="00180B29"/>
    <w:rsid w:val="00187933"/>
    <w:rsid w:val="00187962"/>
    <w:rsid w:val="00187BA1"/>
    <w:rsid w:val="0019178E"/>
    <w:rsid w:val="00192D97"/>
    <w:rsid w:val="00194A52"/>
    <w:rsid w:val="00194BFE"/>
    <w:rsid w:val="001950FF"/>
    <w:rsid w:val="0019628E"/>
    <w:rsid w:val="00196476"/>
    <w:rsid w:val="001A0607"/>
    <w:rsid w:val="001A2580"/>
    <w:rsid w:val="001A2F02"/>
    <w:rsid w:val="001A35BC"/>
    <w:rsid w:val="001A3692"/>
    <w:rsid w:val="001A36F9"/>
    <w:rsid w:val="001A5904"/>
    <w:rsid w:val="001A5C55"/>
    <w:rsid w:val="001B05DC"/>
    <w:rsid w:val="001B1795"/>
    <w:rsid w:val="001B22FA"/>
    <w:rsid w:val="001B473D"/>
    <w:rsid w:val="001B644A"/>
    <w:rsid w:val="001B6515"/>
    <w:rsid w:val="001C1E3F"/>
    <w:rsid w:val="001C4025"/>
    <w:rsid w:val="001D1E2C"/>
    <w:rsid w:val="001D4301"/>
    <w:rsid w:val="001E3CA1"/>
    <w:rsid w:val="001E799E"/>
    <w:rsid w:val="001F0619"/>
    <w:rsid w:val="001F41D3"/>
    <w:rsid w:val="001F654A"/>
    <w:rsid w:val="002009E7"/>
    <w:rsid w:val="00202933"/>
    <w:rsid w:val="00203850"/>
    <w:rsid w:val="002042EE"/>
    <w:rsid w:val="002056F7"/>
    <w:rsid w:val="002064DE"/>
    <w:rsid w:val="002065DE"/>
    <w:rsid w:val="00206B94"/>
    <w:rsid w:val="0021045E"/>
    <w:rsid w:val="00212866"/>
    <w:rsid w:val="002176AF"/>
    <w:rsid w:val="00220031"/>
    <w:rsid w:val="00221B40"/>
    <w:rsid w:val="00222BEB"/>
    <w:rsid w:val="002239F1"/>
    <w:rsid w:val="00227086"/>
    <w:rsid w:val="00230919"/>
    <w:rsid w:val="00232E1B"/>
    <w:rsid w:val="0023378E"/>
    <w:rsid w:val="00234C5E"/>
    <w:rsid w:val="002404E1"/>
    <w:rsid w:val="00240FB9"/>
    <w:rsid w:val="002412F9"/>
    <w:rsid w:val="00241EF5"/>
    <w:rsid w:val="00243816"/>
    <w:rsid w:val="002502C0"/>
    <w:rsid w:val="00250FBF"/>
    <w:rsid w:val="00251355"/>
    <w:rsid w:val="002516E5"/>
    <w:rsid w:val="002522B7"/>
    <w:rsid w:val="00257E78"/>
    <w:rsid w:val="00257EB7"/>
    <w:rsid w:val="00260E60"/>
    <w:rsid w:val="002648B2"/>
    <w:rsid w:val="00266AF4"/>
    <w:rsid w:val="00267644"/>
    <w:rsid w:val="0026774C"/>
    <w:rsid w:val="00267D5C"/>
    <w:rsid w:val="002714E8"/>
    <w:rsid w:val="002721CF"/>
    <w:rsid w:val="00272AC7"/>
    <w:rsid w:val="00272EF0"/>
    <w:rsid w:val="00273996"/>
    <w:rsid w:val="002743B0"/>
    <w:rsid w:val="00275B04"/>
    <w:rsid w:val="00276F2F"/>
    <w:rsid w:val="00281F8E"/>
    <w:rsid w:val="002835B1"/>
    <w:rsid w:val="00286A3F"/>
    <w:rsid w:val="00291605"/>
    <w:rsid w:val="00296781"/>
    <w:rsid w:val="002A0AB8"/>
    <w:rsid w:val="002A2D07"/>
    <w:rsid w:val="002A4C5D"/>
    <w:rsid w:val="002A54B7"/>
    <w:rsid w:val="002B11FA"/>
    <w:rsid w:val="002B158B"/>
    <w:rsid w:val="002B652D"/>
    <w:rsid w:val="002B6FF0"/>
    <w:rsid w:val="002C0AC3"/>
    <w:rsid w:val="002C3157"/>
    <w:rsid w:val="002C43F9"/>
    <w:rsid w:val="002C4E0F"/>
    <w:rsid w:val="002C7436"/>
    <w:rsid w:val="002D173E"/>
    <w:rsid w:val="002D2130"/>
    <w:rsid w:val="002D2194"/>
    <w:rsid w:val="002D3417"/>
    <w:rsid w:val="002D4FB1"/>
    <w:rsid w:val="002D7585"/>
    <w:rsid w:val="002E05B0"/>
    <w:rsid w:val="002E0EAF"/>
    <w:rsid w:val="002E1BEA"/>
    <w:rsid w:val="002E28FE"/>
    <w:rsid w:val="002E3A50"/>
    <w:rsid w:val="002E7781"/>
    <w:rsid w:val="002F0B34"/>
    <w:rsid w:val="002F13B8"/>
    <w:rsid w:val="002F43BB"/>
    <w:rsid w:val="002F4BFA"/>
    <w:rsid w:val="002F4CC1"/>
    <w:rsid w:val="002F4D78"/>
    <w:rsid w:val="00301381"/>
    <w:rsid w:val="00302778"/>
    <w:rsid w:val="00303CF2"/>
    <w:rsid w:val="0030503B"/>
    <w:rsid w:val="003051B2"/>
    <w:rsid w:val="0031128F"/>
    <w:rsid w:val="00314770"/>
    <w:rsid w:val="00315C67"/>
    <w:rsid w:val="0031775B"/>
    <w:rsid w:val="00317CFE"/>
    <w:rsid w:val="00317E25"/>
    <w:rsid w:val="003201C9"/>
    <w:rsid w:val="00321CCE"/>
    <w:rsid w:val="003247B7"/>
    <w:rsid w:val="0033041A"/>
    <w:rsid w:val="0033177A"/>
    <w:rsid w:val="0033188C"/>
    <w:rsid w:val="003332B5"/>
    <w:rsid w:val="0033348E"/>
    <w:rsid w:val="003358E5"/>
    <w:rsid w:val="003359D0"/>
    <w:rsid w:val="00337538"/>
    <w:rsid w:val="00346493"/>
    <w:rsid w:val="003468D6"/>
    <w:rsid w:val="00346BCA"/>
    <w:rsid w:val="00347FE0"/>
    <w:rsid w:val="00350CB3"/>
    <w:rsid w:val="00353B79"/>
    <w:rsid w:val="003576B2"/>
    <w:rsid w:val="003576D0"/>
    <w:rsid w:val="00357CA0"/>
    <w:rsid w:val="00357F1B"/>
    <w:rsid w:val="003607B3"/>
    <w:rsid w:val="00370DD6"/>
    <w:rsid w:val="00370DF9"/>
    <w:rsid w:val="003711D0"/>
    <w:rsid w:val="00372C1F"/>
    <w:rsid w:val="003767B8"/>
    <w:rsid w:val="0037714A"/>
    <w:rsid w:val="00381124"/>
    <w:rsid w:val="00383ADE"/>
    <w:rsid w:val="003853FE"/>
    <w:rsid w:val="003858A0"/>
    <w:rsid w:val="00385EC7"/>
    <w:rsid w:val="003903EB"/>
    <w:rsid w:val="003911E6"/>
    <w:rsid w:val="003912A3"/>
    <w:rsid w:val="00392B9A"/>
    <w:rsid w:val="00394AC6"/>
    <w:rsid w:val="00397293"/>
    <w:rsid w:val="003A119C"/>
    <w:rsid w:val="003A166E"/>
    <w:rsid w:val="003A29B1"/>
    <w:rsid w:val="003A6311"/>
    <w:rsid w:val="003A71A8"/>
    <w:rsid w:val="003B031D"/>
    <w:rsid w:val="003B3A55"/>
    <w:rsid w:val="003B4753"/>
    <w:rsid w:val="003C0927"/>
    <w:rsid w:val="003C420D"/>
    <w:rsid w:val="003C5035"/>
    <w:rsid w:val="003C6459"/>
    <w:rsid w:val="003C6AB3"/>
    <w:rsid w:val="003C7C35"/>
    <w:rsid w:val="003D1920"/>
    <w:rsid w:val="003D6939"/>
    <w:rsid w:val="003E20E2"/>
    <w:rsid w:val="003E4A41"/>
    <w:rsid w:val="003F09DE"/>
    <w:rsid w:val="003F09FB"/>
    <w:rsid w:val="003F36CC"/>
    <w:rsid w:val="003F4C3A"/>
    <w:rsid w:val="003F4FE7"/>
    <w:rsid w:val="003F5EA9"/>
    <w:rsid w:val="003F609E"/>
    <w:rsid w:val="0040352F"/>
    <w:rsid w:val="00405430"/>
    <w:rsid w:val="00413776"/>
    <w:rsid w:val="00416B44"/>
    <w:rsid w:val="0041797A"/>
    <w:rsid w:val="00421A40"/>
    <w:rsid w:val="00421A8D"/>
    <w:rsid w:val="00422120"/>
    <w:rsid w:val="00423402"/>
    <w:rsid w:val="00424BDB"/>
    <w:rsid w:val="004252A8"/>
    <w:rsid w:val="0042583D"/>
    <w:rsid w:val="00426205"/>
    <w:rsid w:val="004268F8"/>
    <w:rsid w:val="0044013E"/>
    <w:rsid w:val="00440294"/>
    <w:rsid w:val="004402C4"/>
    <w:rsid w:val="004425E5"/>
    <w:rsid w:val="004441EC"/>
    <w:rsid w:val="00453079"/>
    <w:rsid w:val="004565C4"/>
    <w:rsid w:val="00466AD0"/>
    <w:rsid w:val="00467C7A"/>
    <w:rsid w:val="004707A3"/>
    <w:rsid w:val="004709E4"/>
    <w:rsid w:val="00475675"/>
    <w:rsid w:val="00475C8A"/>
    <w:rsid w:val="00476BCF"/>
    <w:rsid w:val="00481DF1"/>
    <w:rsid w:val="00483C2B"/>
    <w:rsid w:val="00486FA5"/>
    <w:rsid w:val="00490BC8"/>
    <w:rsid w:val="004924B9"/>
    <w:rsid w:val="0049744F"/>
    <w:rsid w:val="004A19F9"/>
    <w:rsid w:val="004B3866"/>
    <w:rsid w:val="004B4C22"/>
    <w:rsid w:val="004B5E4B"/>
    <w:rsid w:val="004B7377"/>
    <w:rsid w:val="004C0671"/>
    <w:rsid w:val="004C3C34"/>
    <w:rsid w:val="004D24CA"/>
    <w:rsid w:val="004D5156"/>
    <w:rsid w:val="004E0B71"/>
    <w:rsid w:val="004E22BF"/>
    <w:rsid w:val="004E381B"/>
    <w:rsid w:val="004E46D2"/>
    <w:rsid w:val="004E6CBE"/>
    <w:rsid w:val="004F052D"/>
    <w:rsid w:val="004F09C5"/>
    <w:rsid w:val="004F1CB7"/>
    <w:rsid w:val="004F2759"/>
    <w:rsid w:val="004F27E4"/>
    <w:rsid w:val="004F33BF"/>
    <w:rsid w:val="005009BC"/>
    <w:rsid w:val="00502F6B"/>
    <w:rsid w:val="00504D69"/>
    <w:rsid w:val="00506721"/>
    <w:rsid w:val="0051029E"/>
    <w:rsid w:val="00514B42"/>
    <w:rsid w:val="005171A2"/>
    <w:rsid w:val="00525613"/>
    <w:rsid w:val="00531D15"/>
    <w:rsid w:val="00541F4B"/>
    <w:rsid w:val="00544D94"/>
    <w:rsid w:val="005457F1"/>
    <w:rsid w:val="00552F06"/>
    <w:rsid w:val="00555AC6"/>
    <w:rsid w:val="005560A6"/>
    <w:rsid w:val="0055629C"/>
    <w:rsid w:val="00556598"/>
    <w:rsid w:val="005573D5"/>
    <w:rsid w:val="0056026C"/>
    <w:rsid w:val="00561774"/>
    <w:rsid w:val="00564A77"/>
    <w:rsid w:val="0056586F"/>
    <w:rsid w:val="005733E8"/>
    <w:rsid w:val="00573943"/>
    <w:rsid w:val="005757CF"/>
    <w:rsid w:val="00575B00"/>
    <w:rsid w:val="005773AF"/>
    <w:rsid w:val="005838AB"/>
    <w:rsid w:val="005843F6"/>
    <w:rsid w:val="00586EAC"/>
    <w:rsid w:val="0059316D"/>
    <w:rsid w:val="00593195"/>
    <w:rsid w:val="00597DC1"/>
    <w:rsid w:val="005A1A9E"/>
    <w:rsid w:val="005B14A3"/>
    <w:rsid w:val="005B2246"/>
    <w:rsid w:val="005B4411"/>
    <w:rsid w:val="005B5437"/>
    <w:rsid w:val="005B5F0E"/>
    <w:rsid w:val="005C0AC2"/>
    <w:rsid w:val="005C293B"/>
    <w:rsid w:val="005C2BC6"/>
    <w:rsid w:val="005C350A"/>
    <w:rsid w:val="005C42E6"/>
    <w:rsid w:val="005C54EF"/>
    <w:rsid w:val="005D1A6E"/>
    <w:rsid w:val="005D2416"/>
    <w:rsid w:val="005D4DC8"/>
    <w:rsid w:val="005D52E9"/>
    <w:rsid w:val="005D653E"/>
    <w:rsid w:val="005D71AF"/>
    <w:rsid w:val="005E4438"/>
    <w:rsid w:val="005E49ED"/>
    <w:rsid w:val="005E4BAD"/>
    <w:rsid w:val="005E68AB"/>
    <w:rsid w:val="005E7056"/>
    <w:rsid w:val="005F739F"/>
    <w:rsid w:val="005F7A5E"/>
    <w:rsid w:val="00603575"/>
    <w:rsid w:val="0060441E"/>
    <w:rsid w:val="00604936"/>
    <w:rsid w:val="00607C62"/>
    <w:rsid w:val="00607D93"/>
    <w:rsid w:val="00610CCE"/>
    <w:rsid w:val="006123B4"/>
    <w:rsid w:val="00612905"/>
    <w:rsid w:val="00616ABD"/>
    <w:rsid w:val="00617157"/>
    <w:rsid w:val="006231B6"/>
    <w:rsid w:val="00624457"/>
    <w:rsid w:val="00626887"/>
    <w:rsid w:val="00627304"/>
    <w:rsid w:val="00634303"/>
    <w:rsid w:val="00640C5E"/>
    <w:rsid w:val="00643AC8"/>
    <w:rsid w:val="006459A0"/>
    <w:rsid w:val="00646F49"/>
    <w:rsid w:val="00647756"/>
    <w:rsid w:val="00651D1E"/>
    <w:rsid w:val="00651EBB"/>
    <w:rsid w:val="0065560A"/>
    <w:rsid w:val="0065757E"/>
    <w:rsid w:val="00657B2D"/>
    <w:rsid w:val="006601EA"/>
    <w:rsid w:val="006610BD"/>
    <w:rsid w:val="0066264F"/>
    <w:rsid w:val="00664468"/>
    <w:rsid w:val="00670BE3"/>
    <w:rsid w:val="00672FF7"/>
    <w:rsid w:val="00676FC4"/>
    <w:rsid w:val="00677587"/>
    <w:rsid w:val="006905FF"/>
    <w:rsid w:val="00691E1A"/>
    <w:rsid w:val="00694CF4"/>
    <w:rsid w:val="0069654D"/>
    <w:rsid w:val="006968F2"/>
    <w:rsid w:val="006A471D"/>
    <w:rsid w:val="006A4AE2"/>
    <w:rsid w:val="006B2224"/>
    <w:rsid w:val="006B32B8"/>
    <w:rsid w:val="006B41C6"/>
    <w:rsid w:val="006B4D3D"/>
    <w:rsid w:val="006B7C50"/>
    <w:rsid w:val="006C0549"/>
    <w:rsid w:val="006C0AAA"/>
    <w:rsid w:val="006C1C02"/>
    <w:rsid w:val="006C34C5"/>
    <w:rsid w:val="006C747F"/>
    <w:rsid w:val="006D1430"/>
    <w:rsid w:val="006D5112"/>
    <w:rsid w:val="006D6405"/>
    <w:rsid w:val="006E09E1"/>
    <w:rsid w:val="006E226F"/>
    <w:rsid w:val="006E570C"/>
    <w:rsid w:val="006E5A2C"/>
    <w:rsid w:val="006E62B0"/>
    <w:rsid w:val="006F01BC"/>
    <w:rsid w:val="006F1592"/>
    <w:rsid w:val="006F27CB"/>
    <w:rsid w:val="006F2B27"/>
    <w:rsid w:val="006F30EC"/>
    <w:rsid w:val="006F34B6"/>
    <w:rsid w:val="006F4E13"/>
    <w:rsid w:val="006F5584"/>
    <w:rsid w:val="006F6F40"/>
    <w:rsid w:val="006F7FCA"/>
    <w:rsid w:val="00701DED"/>
    <w:rsid w:val="007035D4"/>
    <w:rsid w:val="007049CA"/>
    <w:rsid w:val="00711DEE"/>
    <w:rsid w:val="00714CAE"/>
    <w:rsid w:val="00715301"/>
    <w:rsid w:val="00715C6E"/>
    <w:rsid w:val="0071731E"/>
    <w:rsid w:val="0071754B"/>
    <w:rsid w:val="00717676"/>
    <w:rsid w:val="00721EA6"/>
    <w:rsid w:val="007221F4"/>
    <w:rsid w:val="00722391"/>
    <w:rsid w:val="00723657"/>
    <w:rsid w:val="00725A50"/>
    <w:rsid w:val="007279C4"/>
    <w:rsid w:val="00732410"/>
    <w:rsid w:val="00732F96"/>
    <w:rsid w:val="0073309A"/>
    <w:rsid w:val="007350B7"/>
    <w:rsid w:val="0073603C"/>
    <w:rsid w:val="007375E5"/>
    <w:rsid w:val="00742C31"/>
    <w:rsid w:val="00744498"/>
    <w:rsid w:val="00744504"/>
    <w:rsid w:val="007465C3"/>
    <w:rsid w:val="00747A20"/>
    <w:rsid w:val="00752805"/>
    <w:rsid w:val="00753A95"/>
    <w:rsid w:val="00762EBA"/>
    <w:rsid w:val="007641A0"/>
    <w:rsid w:val="00772DCA"/>
    <w:rsid w:val="007737C8"/>
    <w:rsid w:val="007744E5"/>
    <w:rsid w:val="00776BA8"/>
    <w:rsid w:val="00780407"/>
    <w:rsid w:val="0078290E"/>
    <w:rsid w:val="00787ED3"/>
    <w:rsid w:val="00790875"/>
    <w:rsid w:val="00794F80"/>
    <w:rsid w:val="00795E77"/>
    <w:rsid w:val="007965DC"/>
    <w:rsid w:val="00796B74"/>
    <w:rsid w:val="007A02D2"/>
    <w:rsid w:val="007A05F3"/>
    <w:rsid w:val="007A379E"/>
    <w:rsid w:val="007B1E91"/>
    <w:rsid w:val="007B25FF"/>
    <w:rsid w:val="007B2D85"/>
    <w:rsid w:val="007B6035"/>
    <w:rsid w:val="007C459F"/>
    <w:rsid w:val="007C5FEC"/>
    <w:rsid w:val="007D2879"/>
    <w:rsid w:val="007D4AA6"/>
    <w:rsid w:val="007D4C16"/>
    <w:rsid w:val="007E0C49"/>
    <w:rsid w:val="007E11FA"/>
    <w:rsid w:val="007E7823"/>
    <w:rsid w:val="007F2799"/>
    <w:rsid w:val="007F56BD"/>
    <w:rsid w:val="00801681"/>
    <w:rsid w:val="0080589B"/>
    <w:rsid w:val="00805D2E"/>
    <w:rsid w:val="008067FE"/>
    <w:rsid w:val="00807559"/>
    <w:rsid w:val="0081028E"/>
    <w:rsid w:val="0081165B"/>
    <w:rsid w:val="008159F4"/>
    <w:rsid w:val="00816251"/>
    <w:rsid w:val="00823D93"/>
    <w:rsid w:val="00826EF6"/>
    <w:rsid w:val="00827189"/>
    <w:rsid w:val="008322F9"/>
    <w:rsid w:val="00834DA1"/>
    <w:rsid w:val="008363B6"/>
    <w:rsid w:val="008408B6"/>
    <w:rsid w:val="00840C51"/>
    <w:rsid w:val="008445B5"/>
    <w:rsid w:val="008517F5"/>
    <w:rsid w:val="00855036"/>
    <w:rsid w:val="008601F9"/>
    <w:rsid w:val="00861BB8"/>
    <w:rsid w:val="00867790"/>
    <w:rsid w:val="00867F6A"/>
    <w:rsid w:val="0087062A"/>
    <w:rsid w:val="00874827"/>
    <w:rsid w:val="0087682B"/>
    <w:rsid w:val="00876B32"/>
    <w:rsid w:val="008804EC"/>
    <w:rsid w:val="008824C9"/>
    <w:rsid w:val="0088394D"/>
    <w:rsid w:val="00884752"/>
    <w:rsid w:val="00885B42"/>
    <w:rsid w:val="00885B5A"/>
    <w:rsid w:val="00887D6C"/>
    <w:rsid w:val="00891781"/>
    <w:rsid w:val="008930A7"/>
    <w:rsid w:val="00893186"/>
    <w:rsid w:val="008942E8"/>
    <w:rsid w:val="00894302"/>
    <w:rsid w:val="008A5CA3"/>
    <w:rsid w:val="008B0ACB"/>
    <w:rsid w:val="008B3D26"/>
    <w:rsid w:val="008B3FAA"/>
    <w:rsid w:val="008B6FA5"/>
    <w:rsid w:val="008C341C"/>
    <w:rsid w:val="008C4B98"/>
    <w:rsid w:val="008C7C63"/>
    <w:rsid w:val="008D0A40"/>
    <w:rsid w:val="008D2108"/>
    <w:rsid w:val="008D2F2B"/>
    <w:rsid w:val="008E1BB7"/>
    <w:rsid w:val="008E58D3"/>
    <w:rsid w:val="008E64A9"/>
    <w:rsid w:val="008E73E6"/>
    <w:rsid w:val="008F04FE"/>
    <w:rsid w:val="008F11E9"/>
    <w:rsid w:val="008F4749"/>
    <w:rsid w:val="008F5E21"/>
    <w:rsid w:val="0090102C"/>
    <w:rsid w:val="00901C48"/>
    <w:rsid w:val="009048FF"/>
    <w:rsid w:val="00904D61"/>
    <w:rsid w:val="00905616"/>
    <w:rsid w:val="00906650"/>
    <w:rsid w:val="00910313"/>
    <w:rsid w:val="00910A8E"/>
    <w:rsid w:val="009117FD"/>
    <w:rsid w:val="0091230D"/>
    <w:rsid w:val="00914C85"/>
    <w:rsid w:val="00916324"/>
    <w:rsid w:val="00916B76"/>
    <w:rsid w:val="00925468"/>
    <w:rsid w:val="009271EB"/>
    <w:rsid w:val="00927E07"/>
    <w:rsid w:val="00935FB8"/>
    <w:rsid w:val="00936320"/>
    <w:rsid w:val="0094141F"/>
    <w:rsid w:val="00950C25"/>
    <w:rsid w:val="00951397"/>
    <w:rsid w:val="00951438"/>
    <w:rsid w:val="00951D60"/>
    <w:rsid w:val="009528CE"/>
    <w:rsid w:val="00955D3E"/>
    <w:rsid w:val="0095632D"/>
    <w:rsid w:val="009624C9"/>
    <w:rsid w:val="00965085"/>
    <w:rsid w:val="00967678"/>
    <w:rsid w:val="00971115"/>
    <w:rsid w:val="00975182"/>
    <w:rsid w:val="00976201"/>
    <w:rsid w:val="00976EFC"/>
    <w:rsid w:val="00977EEE"/>
    <w:rsid w:val="00981BB2"/>
    <w:rsid w:val="00982CD2"/>
    <w:rsid w:val="0098770C"/>
    <w:rsid w:val="009903E6"/>
    <w:rsid w:val="009910C3"/>
    <w:rsid w:val="00993B57"/>
    <w:rsid w:val="009B0F1B"/>
    <w:rsid w:val="009B622C"/>
    <w:rsid w:val="009B6676"/>
    <w:rsid w:val="009B66C6"/>
    <w:rsid w:val="009B7185"/>
    <w:rsid w:val="009C04A5"/>
    <w:rsid w:val="009C38FC"/>
    <w:rsid w:val="009C5FA6"/>
    <w:rsid w:val="009C6738"/>
    <w:rsid w:val="009D00EF"/>
    <w:rsid w:val="009D03B5"/>
    <w:rsid w:val="009D1F98"/>
    <w:rsid w:val="009D23CA"/>
    <w:rsid w:val="009D3466"/>
    <w:rsid w:val="009E0AEB"/>
    <w:rsid w:val="009E7124"/>
    <w:rsid w:val="009E7C45"/>
    <w:rsid w:val="009F334F"/>
    <w:rsid w:val="009F3F0D"/>
    <w:rsid w:val="009F4DB1"/>
    <w:rsid w:val="009F4DC1"/>
    <w:rsid w:val="009F568A"/>
    <w:rsid w:val="00A00BD4"/>
    <w:rsid w:val="00A0178B"/>
    <w:rsid w:val="00A03C63"/>
    <w:rsid w:val="00A05183"/>
    <w:rsid w:val="00A17D3A"/>
    <w:rsid w:val="00A20943"/>
    <w:rsid w:val="00A21525"/>
    <w:rsid w:val="00A224BF"/>
    <w:rsid w:val="00A23E30"/>
    <w:rsid w:val="00A24292"/>
    <w:rsid w:val="00A25D51"/>
    <w:rsid w:val="00A27362"/>
    <w:rsid w:val="00A303AE"/>
    <w:rsid w:val="00A37183"/>
    <w:rsid w:val="00A42332"/>
    <w:rsid w:val="00A44218"/>
    <w:rsid w:val="00A44E69"/>
    <w:rsid w:val="00A47A32"/>
    <w:rsid w:val="00A47B0B"/>
    <w:rsid w:val="00A5767F"/>
    <w:rsid w:val="00A62BA0"/>
    <w:rsid w:val="00A66645"/>
    <w:rsid w:val="00A6748C"/>
    <w:rsid w:val="00A70CD9"/>
    <w:rsid w:val="00A739EA"/>
    <w:rsid w:val="00A73D15"/>
    <w:rsid w:val="00A7726D"/>
    <w:rsid w:val="00A772C1"/>
    <w:rsid w:val="00A8026B"/>
    <w:rsid w:val="00A808AC"/>
    <w:rsid w:val="00A9084A"/>
    <w:rsid w:val="00A9197D"/>
    <w:rsid w:val="00A92DC3"/>
    <w:rsid w:val="00A94345"/>
    <w:rsid w:val="00AA0183"/>
    <w:rsid w:val="00AA59B9"/>
    <w:rsid w:val="00AA73A6"/>
    <w:rsid w:val="00AA7576"/>
    <w:rsid w:val="00AB1DA3"/>
    <w:rsid w:val="00AB4F7D"/>
    <w:rsid w:val="00AC31EB"/>
    <w:rsid w:val="00AC5A74"/>
    <w:rsid w:val="00AC66AE"/>
    <w:rsid w:val="00AD0685"/>
    <w:rsid w:val="00AD0DC4"/>
    <w:rsid w:val="00AD2E8C"/>
    <w:rsid w:val="00AD49A7"/>
    <w:rsid w:val="00AD55AA"/>
    <w:rsid w:val="00AD55E9"/>
    <w:rsid w:val="00AD579C"/>
    <w:rsid w:val="00AD656C"/>
    <w:rsid w:val="00AE23F8"/>
    <w:rsid w:val="00AE55CB"/>
    <w:rsid w:val="00AE653D"/>
    <w:rsid w:val="00AF78A2"/>
    <w:rsid w:val="00AF7F38"/>
    <w:rsid w:val="00B01A70"/>
    <w:rsid w:val="00B0366A"/>
    <w:rsid w:val="00B041CE"/>
    <w:rsid w:val="00B13A44"/>
    <w:rsid w:val="00B157DE"/>
    <w:rsid w:val="00B2003C"/>
    <w:rsid w:val="00B20152"/>
    <w:rsid w:val="00B22DA2"/>
    <w:rsid w:val="00B25D0B"/>
    <w:rsid w:val="00B26094"/>
    <w:rsid w:val="00B26D83"/>
    <w:rsid w:val="00B27518"/>
    <w:rsid w:val="00B3070A"/>
    <w:rsid w:val="00B37AAB"/>
    <w:rsid w:val="00B41CD8"/>
    <w:rsid w:val="00B4442B"/>
    <w:rsid w:val="00B4470F"/>
    <w:rsid w:val="00B44C90"/>
    <w:rsid w:val="00B44CE4"/>
    <w:rsid w:val="00B47218"/>
    <w:rsid w:val="00B47414"/>
    <w:rsid w:val="00B50D58"/>
    <w:rsid w:val="00B510AF"/>
    <w:rsid w:val="00B5407E"/>
    <w:rsid w:val="00B5573A"/>
    <w:rsid w:val="00B5673F"/>
    <w:rsid w:val="00B7007E"/>
    <w:rsid w:val="00B80438"/>
    <w:rsid w:val="00B8086F"/>
    <w:rsid w:val="00B839E5"/>
    <w:rsid w:val="00B847E9"/>
    <w:rsid w:val="00B84F77"/>
    <w:rsid w:val="00B87209"/>
    <w:rsid w:val="00B875BC"/>
    <w:rsid w:val="00B876B2"/>
    <w:rsid w:val="00B915E9"/>
    <w:rsid w:val="00B91779"/>
    <w:rsid w:val="00B91E92"/>
    <w:rsid w:val="00B96715"/>
    <w:rsid w:val="00B9679E"/>
    <w:rsid w:val="00B97032"/>
    <w:rsid w:val="00B97918"/>
    <w:rsid w:val="00BA13F6"/>
    <w:rsid w:val="00BA1856"/>
    <w:rsid w:val="00BA5B88"/>
    <w:rsid w:val="00BA7854"/>
    <w:rsid w:val="00BB10FF"/>
    <w:rsid w:val="00BB2CF8"/>
    <w:rsid w:val="00BB2F90"/>
    <w:rsid w:val="00BB31A3"/>
    <w:rsid w:val="00BB6058"/>
    <w:rsid w:val="00BB611A"/>
    <w:rsid w:val="00BB62CD"/>
    <w:rsid w:val="00BB749F"/>
    <w:rsid w:val="00BC0B3F"/>
    <w:rsid w:val="00BC2280"/>
    <w:rsid w:val="00BC2A9B"/>
    <w:rsid w:val="00BC443E"/>
    <w:rsid w:val="00BC47E4"/>
    <w:rsid w:val="00BC5185"/>
    <w:rsid w:val="00BC6347"/>
    <w:rsid w:val="00BC65B5"/>
    <w:rsid w:val="00BC7B1C"/>
    <w:rsid w:val="00BD1622"/>
    <w:rsid w:val="00BD4049"/>
    <w:rsid w:val="00BD718E"/>
    <w:rsid w:val="00BD73D4"/>
    <w:rsid w:val="00BE0FFA"/>
    <w:rsid w:val="00BE5041"/>
    <w:rsid w:val="00BE686F"/>
    <w:rsid w:val="00BF0259"/>
    <w:rsid w:val="00BF0A39"/>
    <w:rsid w:val="00BF0D14"/>
    <w:rsid w:val="00BF35A3"/>
    <w:rsid w:val="00BF3A80"/>
    <w:rsid w:val="00BF4F6F"/>
    <w:rsid w:val="00BF685F"/>
    <w:rsid w:val="00BF79D1"/>
    <w:rsid w:val="00BF7E7C"/>
    <w:rsid w:val="00C00EED"/>
    <w:rsid w:val="00C019C5"/>
    <w:rsid w:val="00C04193"/>
    <w:rsid w:val="00C04769"/>
    <w:rsid w:val="00C06434"/>
    <w:rsid w:val="00C07233"/>
    <w:rsid w:val="00C108E2"/>
    <w:rsid w:val="00C1675B"/>
    <w:rsid w:val="00C27B20"/>
    <w:rsid w:val="00C3169C"/>
    <w:rsid w:val="00C333AE"/>
    <w:rsid w:val="00C36B23"/>
    <w:rsid w:val="00C37DBA"/>
    <w:rsid w:val="00C403A5"/>
    <w:rsid w:val="00C41984"/>
    <w:rsid w:val="00C42F57"/>
    <w:rsid w:val="00C51CE8"/>
    <w:rsid w:val="00C51FFB"/>
    <w:rsid w:val="00C530B0"/>
    <w:rsid w:val="00C54FD0"/>
    <w:rsid w:val="00C55EA3"/>
    <w:rsid w:val="00C63B83"/>
    <w:rsid w:val="00C6602A"/>
    <w:rsid w:val="00C71FFC"/>
    <w:rsid w:val="00C7238E"/>
    <w:rsid w:val="00C72548"/>
    <w:rsid w:val="00C7401C"/>
    <w:rsid w:val="00C76389"/>
    <w:rsid w:val="00C815A8"/>
    <w:rsid w:val="00C8184F"/>
    <w:rsid w:val="00C818A5"/>
    <w:rsid w:val="00C835FC"/>
    <w:rsid w:val="00C84109"/>
    <w:rsid w:val="00C9255E"/>
    <w:rsid w:val="00C93983"/>
    <w:rsid w:val="00C956C1"/>
    <w:rsid w:val="00C96806"/>
    <w:rsid w:val="00CA1B56"/>
    <w:rsid w:val="00CA225A"/>
    <w:rsid w:val="00CA549F"/>
    <w:rsid w:val="00CB1CE2"/>
    <w:rsid w:val="00CC3A76"/>
    <w:rsid w:val="00CC4043"/>
    <w:rsid w:val="00CC462D"/>
    <w:rsid w:val="00CC5AEC"/>
    <w:rsid w:val="00CC5ED8"/>
    <w:rsid w:val="00CD2F7B"/>
    <w:rsid w:val="00CD3AA2"/>
    <w:rsid w:val="00CD78B1"/>
    <w:rsid w:val="00CE0591"/>
    <w:rsid w:val="00CE0EC6"/>
    <w:rsid w:val="00CE1DBD"/>
    <w:rsid w:val="00CE24D6"/>
    <w:rsid w:val="00CE3560"/>
    <w:rsid w:val="00CE5A9B"/>
    <w:rsid w:val="00CF0AC9"/>
    <w:rsid w:val="00CF4C74"/>
    <w:rsid w:val="00CF4CA3"/>
    <w:rsid w:val="00D01CBF"/>
    <w:rsid w:val="00D02F77"/>
    <w:rsid w:val="00D03674"/>
    <w:rsid w:val="00D036A0"/>
    <w:rsid w:val="00D11D4C"/>
    <w:rsid w:val="00D12D8D"/>
    <w:rsid w:val="00D15ADA"/>
    <w:rsid w:val="00D15CD5"/>
    <w:rsid w:val="00D15D17"/>
    <w:rsid w:val="00D16D00"/>
    <w:rsid w:val="00D174A7"/>
    <w:rsid w:val="00D1788F"/>
    <w:rsid w:val="00D2030A"/>
    <w:rsid w:val="00D2146C"/>
    <w:rsid w:val="00D21D91"/>
    <w:rsid w:val="00D22A4A"/>
    <w:rsid w:val="00D24B43"/>
    <w:rsid w:val="00D255AD"/>
    <w:rsid w:val="00D25A3B"/>
    <w:rsid w:val="00D25C0D"/>
    <w:rsid w:val="00D30B11"/>
    <w:rsid w:val="00D32991"/>
    <w:rsid w:val="00D34808"/>
    <w:rsid w:val="00D37F7F"/>
    <w:rsid w:val="00D44D9D"/>
    <w:rsid w:val="00D46F74"/>
    <w:rsid w:val="00D46FDB"/>
    <w:rsid w:val="00D50A8D"/>
    <w:rsid w:val="00D523E2"/>
    <w:rsid w:val="00D52981"/>
    <w:rsid w:val="00D53C0D"/>
    <w:rsid w:val="00D61CED"/>
    <w:rsid w:val="00D61FA0"/>
    <w:rsid w:val="00D634BD"/>
    <w:rsid w:val="00D645B6"/>
    <w:rsid w:val="00D713CC"/>
    <w:rsid w:val="00D76559"/>
    <w:rsid w:val="00D8081A"/>
    <w:rsid w:val="00D80B0D"/>
    <w:rsid w:val="00D826CF"/>
    <w:rsid w:val="00D84406"/>
    <w:rsid w:val="00D85DF5"/>
    <w:rsid w:val="00D904A1"/>
    <w:rsid w:val="00D91608"/>
    <w:rsid w:val="00D93171"/>
    <w:rsid w:val="00D940D2"/>
    <w:rsid w:val="00DA051E"/>
    <w:rsid w:val="00DA20C1"/>
    <w:rsid w:val="00DA5391"/>
    <w:rsid w:val="00DA6E6F"/>
    <w:rsid w:val="00DB4CE1"/>
    <w:rsid w:val="00DB4FC4"/>
    <w:rsid w:val="00DB614C"/>
    <w:rsid w:val="00DC0CC9"/>
    <w:rsid w:val="00DC2C34"/>
    <w:rsid w:val="00DC50C2"/>
    <w:rsid w:val="00DC7237"/>
    <w:rsid w:val="00DD2850"/>
    <w:rsid w:val="00DD75FA"/>
    <w:rsid w:val="00DE17C1"/>
    <w:rsid w:val="00DE317F"/>
    <w:rsid w:val="00DE335C"/>
    <w:rsid w:val="00DE3A5B"/>
    <w:rsid w:val="00DE7C50"/>
    <w:rsid w:val="00DF0522"/>
    <w:rsid w:val="00DF17FD"/>
    <w:rsid w:val="00DF26AE"/>
    <w:rsid w:val="00DF7335"/>
    <w:rsid w:val="00DF7885"/>
    <w:rsid w:val="00E00FDF"/>
    <w:rsid w:val="00E0195C"/>
    <w:rsid w:val="00E064CD"/>
    <w:rsid w:val="00E07406"/>
    <w:rsid w:val="00E075CA"/>
    <w:rsid w:val="00E151DB"/>
    <w:rsid w:val="00E15B12"/>
    <w:rsid w:val="00E17516"/>
    <w:rsid w:val="00E17FE8"/>
    <w:rsid w:val="00E20825"/>
    <w:rsid w:val="00E23FAC"/>
    <w:rsid w:val="00E24D2D"/>
    <w:rsid w:val="00E2525E"/>
    <w:rsid w:val="00E2580A"/>
    <w:rsid w:val="00E31AB3"/>
    <w:rsid w:val="00E333D8"/>
    <w:rsid w:val="00E35A92"/>
    <w:rsid w:val="00E42692"/>
    <w:rsid w:val="00E43983"/>
    <w:rsid w:val="00E5057E"/>
    <w:rsid w:val="00E567AB"/>
    <w:rsid w:val="00E62B1F"/>
    <w:rsid w:val="00E647D1"/>
    <w:rsid w:val="00E70AD3"/>
    <w:rsid w:val="00E70BAD"/>
    <w:rsid w:val="00E70E3C"/>
    <w:rsid w:val="00E70FCB"/>
    <w:rsid w:val="00E72A56"/>
    <w:rsid w:val="00E74917"/>
    <w:rsid w:val="00E74DA9"/>
    <w:rsid w:val="00E75E7F"/>
    <w:rsid w:val="00E7764B"/>
    <w:rsid w:val="00E8027E"/>
    <w:rsid w:val="00E80C44"/>
    <w:rsid w:val="00E80EF2"/>
    <w:rsid w:val="00E83BCE"/>
    <w:rsid w:val="00E84A24"/>
    <w:rsid w:val="00E85BFA"/>
    <w:rsid w:val="00E9035F"/>
    <w:rsid w:val="00E90B2E"/>
    <w:rsid w:val="00E90F71"/>
    <w:rsid w:val="00E91591"/>
    <w:rsid w:val="00E93E22"/>
    <w:rsid w:val="00E93FCF"/>
    <w:rsid w:val="00E955B6"/>
    <w:rsid w:val="00E95ACA"/>
    <w:rsid w:val="00E95F5D"/>
    <w:rsid w:val="00EA4F7A"/>
    <w:rsid w:val="00EA5275"/>
    <w:rsid w:val="00EB176A"/>
    <w:rsid w:val="00EB2DD6"/>
    <w:rsid w:val="00EB3BF5"/>
    <w:rsid w:val="00EB5ED8"/>
    <w:rsid w:val="00EB7461"/>
    <w:rsid w:val="00EB758B"/>
    <w:rsid w:val="00EB7F3A"/>
    <w:rsid w:val="00EC10AB"/>
    <w:rsid w:val="00EC1570"/>
    <w:rsid w:val="00EC4310"/>
    <w:rsid w:val="00EC4569"/>
    <w:rsid w:val="00EC70C7"/>
    <w:rsid w:val="00ED6421"/>
    <w:rsid w:val="00ED73B9"/>
    <w:rsid w:val="00ED7F7E"/>
    <w:rsid w:val="00EE25AC"/>
    <w:rsid w:val="00EE2670"/>
    <w:rsid w:val="00EF20A1"/>
    <w:rsid w:val="00EF217C"/>
    <w:rsid w:val="00EF2442"/>
    <w:rsid w:val="00EF5D82"/>
    <w:rsid w:val="00EF601C"/>
    <w:rsid w:val="00EF68F4"/>
    <w:rsid w:val="00EF69DF"/>
    <w:rsid w:val="00EF7315"/>
    <w:rsid w:val="00F00292"/>
    <w:rsid w:val="00F00A72"/>
    <w:rsid w:val="00F0147F"/>
    <w:rsid w:val="00F01AC8"/>
    <w:rsid w:val="00F03661"/>
    <w:rsid w:val="00F04117"/>
    <w:rsid w:val="00F04B94"/>
    <w:rsid w:val="00F06282"/>
    <w:rsid w:val="00F063EB"/>
    <w:rsid w:val="00F0778C"/>
    <w:rsid w:val="00F10038"/>
    <w:rsid w:val="00F10818"/>
    <w:rsid w:val="00F10E6E"/>
    <w:rsid w:val="00F1186D"/>
    <w:rsid w:val="00F12768"/>
    <w:rsid w:val="00F15297"/>
    <w:rsid w:val="00F16643"/>
    <w:rsid w:val="00F17874"/>
    <w:rsid w:val="00F20414"/>
    <w:rsid w:val="00F22AFE"/>
    <w:rsid w:val="00F304AE"/>
    <w:rsid w:val="00F331AB"/>
    <w:rsid w:val="00F338F5"/>
    <w:rsid w:val="00F33A37"/>
    <w:rsid w:val="00F37049"/>
    <w:rsid w:val="00F400AA"/>
    <w:rsid w:val="00F401C1"/>
    <w:rsid w:val="00F43069"/>
    <w:rsid w:val="00F455F7"/>
    <w:rsid w:val="00F4581D"/>
    <w:rsid w:val="00F51514"/>
    <w:rsid w:val="00F526A7"/>
    <w:rsid w:val="00F5455D"/>
    <w:rsid w:val="00F55CD2"/>
    <w:rsid w:val="00F55E65"/>
    <w:rsid w:val="00F561B7"/>
    <w:rsid w:val="00F56C70"/>
    <w:rsid w:val="00F56DAD"/>
    <w:rsid w:val="00F62A00"/>
    <w:rsid w:val="00F64E0E"/>
    <w:rsid w:val="00F67605"/>
    <w:rsid w:val="00F716CD"/>
    <w:rsid w:val="00F759EA"/>
    <w:rsid w:val="00F77DAE"/>
    <w:rsid w:val="00F80AA7"/>
    <w:rsid w:val="00F81A43"/>
    <w:rsid w:val="00F835AC"/>
    <w:rsid w:val="00F940FB"/>
    <w:rsid w:val="00F94951"/>
    <w:rsid w:val="00FA2C29"/>
    <w:rsid w:val="00FA4F5C"/>
    <w:rsid w:val="00FA6B83"/>
    <w:rsid w:val="00FB06D5"/>
    <w:rsid w:val="00FB08EC"/>
    <w:rsid w:val="00FB20C9"/>
    <w:rsid w:val="00FB337B"/>
    <w:rsid w:val="00FB4364"/>
    <w:rsid w:val="00FB4E92"/>
    <w:rsid w:val="00FC5448"/>
    <w:rsid w:val="00FC67D2"/>
    <w:rsid w:val="00FC6E2C"/>
    <w:rsid w:val="00FD4A80"/>
    <w:rsid w:val="00FD557A"/>
    <w:rsid w:val="00FD7F67"/>
    <w:rsid w:val="00FE010A"/>
    <w:rsid w:val="00FE217B"/>
    <w:rsid w:val="00FE39D8"/>
    <w:rsid w:val="00FE7FE4"/>
    <w:rsid w:val="00FF0AE9"/>
    <w:rsid w:val="00FF3311"/>
    <w:rsid w:val="00FF4B54"/>
    <w:rsid w:val="00FF4EC2"/>
    <w:rsid w:val="00FF68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3393B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note text" w:uiPriority="99"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rebuchet MS" w:hAnsi="Trebuchet MS"/>
    </w:rPr>
  </w:style>
  <w:style w:type="paragraph" w:styleId="Heading1">
    <w:name w:val="heading 1"/>
    <w:basedOn w:val="Normal"/>
    <w:next w:val="Normal"/>
    <w:link w:val="Heading1Char"/>
    <w:uiPriority w:val="9"/>
    <w:qFormat/>
    <w:rsid w:val="00E70BAD"/>
    <w:pPr>
      <w:keepNext/>
      <w:keepLines/>
      <w:numPr>
        <w:numId w:val="25"/>
      </w:numPr>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E70BAD"/>
    <w:pPr>
      <w:keepNext/>
      <w:keepLines/>
      <w:numPr>
        <w:ilvl w:val="1"/>
        <w:numId w:val="25"/>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70BAD"/>
    <w:pPr>
      <w:keepNext/>
      <w:keepLines/>
      <w:numPr>
        <w:ilvl w:val="2"/>
        <w:numId w:val="25"/>
      </w:numPr>
      <w:spacing w:before="200"/>
      <w:outlineLvl w:val="2"/>
    </w:pPr>
    <w:rPr>
      <w:rFonts w:asciiTheme="majorHAnsi" w:eastAsiaTheme="majorEastAsia" w:hAnsiTheme="majorHAnsi" w:cstheme="majorBidi"/>
      <w:b/>
      <w:bCs/>
      <w:color w:val="4F81BD" w:themeColor="accent1"/>
      <w:sz w:val="24"/>
      <w:szCs w:val="24"/>
    </w:rPr>
  </w:style>
  <w:style w:type="paragraph" w:styleId="Heading4">
    <w:name w:val="heading 4"/>
    <w:basedOn w:val="Normal"/>
    <w:next w:val="Normal"/>
    <w:link w:val="Heading4Char"/>
    <w:uiPriority w:val="9"/>
    <w:semiHidden/>
    <w:unhideWhenUsed/>
    <w:qFormat/>
    <w:rsid w:val="00E70BAD"/>
    <w:pPr>
      <w:keepNext/>
      <w:keepLines/>
      <w:numPr>
        <w:ilvl w:val="3"/>
        <w:numId w:val="25"/>
      </w:numPr>
      <w:spacing w:before="200"/>
      <w:outlineLvl w:val="3"/>
    </w:pPr>
    <w:rPr>
      <w:rFonts w:asciiTheme="majorHAnsi" w:eastAsiaTheme="majorEastAsia" w:hAnsiTheme="majorHAnsi" w:cstheme="majorBidi"/>
      <w:b/>
      <w:bCs/>
      <w:i/>
      <w:iCs/>
      <w:color w:val="4F81BD" w:themeColor="accent1"/>
      <w:sz w:val="24"/>
      <w:szCs w:val="24"/>
    </w:rPr>
  </w:style>
  <w:style w:type="paragraph" w:styleId="Heading5">
    <w:name w:val="heading 5"/>
    <w:basedOn w:val="Normal"/>
    <w:next w:val="Normal"/>
    <w:link w:val="Heading5Char"/>
    <w:uiPriority w:val="9"/>
    <w:semiHidden/>
    <w:unhideWhenUsed/>
    <w:qFormat/>
    <w:rsid w:val="00E70BAD"/>
    <w:pPr>
      <w:keepNext/>
      <w:keepLines/>
      <w:numPr>
        <w:ilvl w:val="4"/>
        <w:numId w:val="25"/>
      </w:numPr>
      <w:spacing w:before="200"/>
      <w:outlineLvl w:val="4"/>
    </w:pPr>
    <w:rPr>
      <w:rFonts w:asciiTheme="majorHAnsi" w:eastAsiaTheme="majorEastAsia" w:hAnsiTheme="majorHAnsi" w:cstheme="majorBidi"/>
      <w:color w:val="243F60" w:themeColor="accent1" w:themeShade="7F"/>
      <w:sz w:val="24"/>
      <w:szCs w:val="24"/>
    </w:rPr>
  </w:style>
  <w:style w:type="paragraph" w:styleId="Heading6">
    <w:name w:val="heading 6"/>
    <w:basedOn w:val="Normal"/>
    <w:next w:val="Normal"/>
    <w:link w:val="Heading6Char"/>
    <w:uiPriority w:val="9"/>
    <w:semiHidden/>
    <w:unhideWhenUsed/>
    <w:qFormat/>
    <w:rsid w:val="00E70BAD"/>
    <w:pPr>
      <w:keepNext/>
      <w:keepLines/>
      <w:numPr>
        <w:ilvl w:val="5"/>
        <w:numId w:val="25"/>
      </w:numPr>
      <w:spacing w:before="200"/>
      <w:outlineLvl w:val="5"/>
    </w:pPr>
    <w:rPr>
      <w:rFonts w:asciiTheme="majorHAnsi" w:eastAsiaTheme="majorEastAsia" w:hAnsiTheme="majorHAnsi" w:cstheme="majorBidi"/>
      <w:i/>
      <w:iCs/>
      <w:color w:val="243F60" w:themeColor="accent1" w:themeShade="7F"/>
      <w:sz w:val="24"/>
      <w:szCs w:val="24"/>
    </w:rPr>
  </w:style>
  <w:style w:type="paragraph" w:styleId="Heading7">
    <w:name w:val="heading 7"/>
    <w:basedOn w:val="Normal"/>
    <w:next w:val="Normal"/>
    <w:link w:val="Heading7Char"/>
    <w:uiPriority w:val="9"/>
    <w:semiHidden/>
    <w:unhideWhenUsed/>
    <w:qFormat/>
    <w:rsid w:val="00E70BAD"/>
    <w:pPr>
      <w:keepNext/>
      <w:keepLines/>
      <w:numPr>
        <w:ilvl w:val="6"/>
        <w:numId w:val="25"/>
      </w:numPr>
      <w:spacing w:before="200"/>
      <w:outlineLvl w:val="6"/>
    </w:pPr>
    <w:rPr>
      <w:rFonts w:asciiTheme="majorHAnsi" w:eastAsiaTheme="majorEastAsia" w:hAnsiTheme="majorHAnsi" w:cstheme="majorBidi"/>
      <w:i/>
      <w:iCs/>
      <w:color w:val="404040" w:themeColor="text1" w:themeTint="BF"/>
      <w:sz w:val="24"/>
      <w:szCs w:val="24"/>
    </w:rPr>
  </w:style>
  <w:style w:type="paragraph" w:styleId="Heading8">
    <w:name w:val="heading 8"/>
    <w:basedOn w:val="Normal"/>
    <w:next w:val="Normal"/>
    <w:link w:val="Heading8Char"/>
    <w:uiPriority w:val="9"/>
    <w:semiHidden/>
    <w:unhideWhenUsed/>
    <w:qFormat/>
    <w:rsid w:val="00E70BAD"/>
    <w:pPr>
      <w:keepNext/>
      <w:keepLines/>
      <w:numPr>
        <w:ilvl w:val="7"/>
        <w:numId w:val="25"/>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E70BAD"/>
    <w:pPr>
      <w:keepNext/>
      <w:keepLines/>
      <w:numPr>
        <w:ilvl w:val="8"/>
        <w:numId w:val="25"/>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Pr>
      <w:color w:val="0000FF"/>
      <w:u w:val="single"/>
    </w:rPr>
  </w:style>
  <w:style w:type="paragraph" w:styleId="ListParagraph">
    <w:name w:val="List Paragraph"/>
    <w:basedOn w:val="Normal"/>
    <w:uiPriority w:val="34"/>
    <w:qFormat/>
    <w:pPr>
      <w:ind w:left="720"/>
      <w:contextualSpacing/>
    </w:pPr>
    <w:rPr>
      <w:rFonts w:ascii="Times New Roman" w:hAnsi="Times New Roman"/>
      <w:sz w:val="24"/>
      <w:szCs w:val="24"/>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customStyle="1" w:styleId="Default">
    <w:name w:val="Default"/>
    <w:pPr>
      <w:widowControl w:val="0"/>
      <w:autoSpaceDE w:val="0"/>
      <w:autoSpaceDN w:val="0"/>
      <w:adjustRightInd w:val="0"/>
    </w:pPr>
    <w:rPr>
      <w:rFonts w:ascii="Verdana" w:hAnsi="Verdana" w:cs="Verdana"/>
      <w:color w:val="000000"/>
      <w:sz w:val="24"/>
      <w:szCs w:val="24"/>
    </w:rPr>
  </w:style>
  <w:style w:type="character" w:customStyle="1" w:styleId="apple-converted-space">
    <w:name w:val="apple-converted-space"/>
    <w:basedOn w:val="DefaultParagraphFont"/>
  </w:style>
  <w:style w:type="paragraph" w:styleId="FootnoteText">
    <w:name w:val="footnote text"/>
    <w:aliases w:val="FT,Car,Footnote Text Char1,Footnote Text Char Char,fn Char Char,Footnote Text Char1 Char1 Char,Footnote Text Char Char Char1 Char,Footnote Text Char1 Char Char Char,Footnote Text Char Char Char Char Char,Footnote Text Char Char1,fn"/>
    <w:basedOn w:val="Normal"/>
    <w:link w:val="FootnoteTextChar"/>
    <w:uiPriority w:val="99"/>
    <w:unhideWhenUsed/>
    <w:qFormat/>
    <w:rPr>
      <w:rFonts w:asciiTheme="minorHAnsi" w:eastAsiaTheme="minorEastAsia" w:hAnsiTheme="minorHAnsi" w:cstheme="minorBidi"/>
      <w:sz w:val="24"/>
      <w:szCs w:val="24"/>
    </w:rPr>
  </w:style>
  <w:style w:type="character" w:customStyle="1" w:styleId="FootnoteTextChar">
    <w:name w:val="Footnote Text Char"/>
    <w:aliases w:val="FT Char,Car Char,Footnote Text Char1 Char,Footnote Text Char Char Char,fn Char Char Char,Footnote Text Char1 Char1 Char Char,Footnote Text Char Char Char1 Char Char,Footnote Text Char1 Char Char Char Char,Footnote Text Char Char1 Char"/>
    <w:basedOn w:val="DefaultParagraphFont"/>
    <w:link w:val="FootnoteText"/>
    <w:uiPriority w:val="99"/>
    <w:rPr>
      <w:rFonts w:asciiTheme="minorHAnsi" w:eastAsiaTheme="minorEastAsia" w:hAnsiTheme="minorHAnsi" w:cstheme="minorBidi"/>
      <w:sz w:val="24"/>
      <w:szCs w:val="24"/>
    </w:rPr>
  </w:style>
  <w:style w:type="character" w:styleId="FootnoteReference">
    <w:name w:val="footnote reference"/>
    <w:aliases w:val="o,Style 13,Style 12,(NECG) Footnote Reference,fr,Tory Footnotes,Style 15,Style 17,Style 28,Style 20,o1,fr1,o2,fr2,o3,fr3"/>
    <w:basedOn w:val="DefaultParagraphFont"/>
    <w:uiPriority w:val="99"/>
    <w:unhideWhenUsed/>
    <w:rPr>
      <w:vertAlign w:val="superscript"/>
    </w:rPr>
  </w:style>
  <w:style w:type="character" w:styleId="FollowedHyperlink">
    <w:name w:val="FollowedHyperlink"/>
    <w:basedOn w:val="DefaultParagraphFont"/>
    <w:rPr>
      <w:color w:val="800080" w:themeColor="followedHyperlink"/>
      <w:u w:val="single"/>
    </w:rPr>
  </w:style>
  <w:style w:type="character" w:styleId="CommentReference">
    <w:name w:val="annotation reference"/>
    <w:basedOn w:val="DefaultParagraphFont"/>
    <w:rPr>
      <w:sz w:val="18"/>
      <w:szCs w:val="18"/>
    </w:rPr>
  </w:style>
  <w:style w:type="paragraph" w:styleId="CommentText">
    <w:name w:val="annotation text"/>
    <w:basedOn w:val="Normal"/>
    <w:link w:val="CommentTextChar"/>
    <w:rPr>
      <w:sz w:val="24"/>
      <w:szCs w:val="24"/>
    </w:rPr>
  </w:style>
  <w:style w:type="character" w:customStyle="1" w:styleId="CommentTextChar">
    <w:name w:val="Comment Text Char"/>
    <w:basedOn w:val="DefaultParagraphFont"/>
    <w:link w:val="CommentText"/>
    <w:rPr>
      <w:rFonts w:ascii="Trebuchet MS" w:hAnsi="Trebuchet MS"/>
      <w:sz w:val="24"/>
      <w:szCs w:val="24"/>
    </w:rPr>
  </w:style>
  <w:style w:type="paragraph" w:styleId="CommentSubject">
    <w:name w:val="annotation subject"/>
    <w:basedOn w:val="CommentText"/>
    <w:next w:val="CommentText"/>
    <w:link w:val="CommentSubjectChar"/>
    <w:rPr>
      <w:b/>
      <w:bCs/>
      <w:sz w:val="20"/>
      <w:szCs w:val="20"/>
    </w:rPr>
  </w:style>
  <w:style w:type="character" w:customStyle="1" w:styleId="CommentSubjectChar">
    <w:name w:val="Comment Subject Char"/>
    <w:basedOn w:val="CommentTextChar"/>
    <w:link w:val="CommentSubject"/>
    <w:rPr>
      <w:rFonts w:ascii="Trebuchet MS" w:hAnsi="Trebuchet MS"/>
      <w:b/>
      <w:bCs/>
      <w:sz w:val="24"/>
      <w:szCs w:val="24"/>
    </w:rPr>
  </w:style>
  <w:style w:type="character" w:customStyle="1" w:styleId="DeltaViewInsertion">
    <w:name w:val="DeltaView Insertion"/>
    <w:uiPriority w:val="99"/>
    <w:rPr>
      <w:color w:val="0000FF"/>
      <w:u w:val="double"/>
    </w:rPr>
  </w:style>
  <w:style w:type="paragraph" w:styleId="NormalWeb">
    <w:name w:val="Normal (Web)"/>
    <w:basedOn w:val="Normal"/>
    <w:uiPriority w:val="99"/>
    <w:unhideWhenUsed/>
    <w:rsid w:val="001F654A"/>
    <w:pPr>
      <w:spacing w:before="100" w:beforeAutospacing="1" w:after="100" w:afterAutospacing="1"/>
    </w:pPr>
    <w:rPr>
      <w:rFonts w:ascii="Times" w:eastAsiaTheme="minorEastAsia" w:hAnsi="Times"/>
    </w:rPr>
  </w:style>
  <w:style w:type="paragraph" w:styleId="NoSpacing">
    <w:name w:val="No Spacing"/>
    <w:uiPriority w:val="1"/>
    <w:qFormat/>
    <w:rsid w:val="002009E7"/>
    <w:rPr>
      <w:rFonts w:asciiTheme="minorHAnsi" w:eastAsiaTheme="minorHAnsi" w:hAnsiTheme="minorHAnsi" w:cstheme="minorBidi"/>
      <w:sz w:val="22"/>
      <w:szCs w:val="22"/>
    </w:rPr>
  </w:style>
  <w:style w:type="character" w:customStyle="1" w:styleId="Heading1Char">
    <w:name w:val="Heading 1 Char"/>
    <w:basedOn w:val="DefaultParagraphFont"/>
    <w:link w:val="Heading1"/>
    <w:uiPriority w:val="9"/>
    <w:rsid w:val="00E70BAD"/>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semiHidden/>
    <w:rsid w:val="00E70BA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70BAD"/>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semiHidden/>
    <w:rsid w:val="00E70BAD"/>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sid w:val="00E70BAD"/>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semiHidden/>
    <w:rsid w:val="00E70BAD"/>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semiHidden/>
    <w:rsid w:val="00E70BAD"/>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
    <w:semiHidden/>
    <w:rsid w:val="00E70BA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E70BAD"/>
    <w:rPr>
      <w:rFonts w:asciiTheme="majorHAnsi" w:eastAsiaTheme="majorEastAsia" w:hAnsiTheme="majorHAnsi" w:cstheme="majorBidi"/>
      <w:i/>
      <w:iCs/>
      <w:color w:val="404040" w:themeColor="text1" w:themeTint="BF"/>
    </w:rPr>
  </w:style>
  <w:style w:type="paragraph" w:styleId="Revision">
    <w:name w:val="Revision"/>
    <w:hidden/>
    <w:uiPriority w:val="99"/>
    <w:semiHidden/>
    <w:rsid w:val="007737C8"/>
    <w:rPr>
      <w:rFonts w:ascii="Trebuchet MS" w:hAnsi="Trebuchet M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note text" w:uiPriority="99"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rebuchet MS" w:hAnsi="Trebuchet MS"/>
    </w:rPr>
  </w:style>
  <w:style w:type="paragraph" w:styleId="Heading1">
    <w:name w:val="heading 1"/>
    <w:basedOn w:val="Normal"/>
    <w:next w:val="Normal"/>
    <w:link w:val="Heading1Char"/>
    <w:uiPriority w:val="9"/>
    <w:qFormat/>
    <w:rsid w:val="00E70BAD"/>
    <w:pPr>
      <w:keepNext/>
      <w:keepLines/>
      <w:numPr>
        <w:numId w:val="25"/>
      </w:numPr>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E70BAD"/>
    <w:pPr>
      <w:keepNext/>
      <w:keepLines/>
      <w:numPr>
        <w:ilvl w:val="1"/>
        <w:numId w:val="25"/>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70BAD"/>
    <w:pPr>
      <w:keepNext/>
      <w:keepLines/>
      <w:numPr>
        <w:ilvl w:val="2"/>
        <w:numId w:val="25"/>
      </w:numPr>
      <w:spacing w:before="200"/>
      <w:outlineLvl w:val="2"/>
    </w:pPr>
    <w:rPr>
      <w:rFonts w:asciiTheme="majorHAnsi" w:eastAsiaTheme="majorEastAsia" w:hAnsiTheme="majorHAnsi" w:cstheme="majorBidi"/>
      <w:b/>
      <w:bCs/>
      <w:color w:val="4F81BD" w:themeColor="accent1"/>
      <w:sz w:val="24"/>
      <w:szCs w:val="24"/>
    </w:rPr>
  </w:style>
  <w:style w:type="paragraph" w:styleId="Heading4">
    <w:name w:val="heading 4"/>
    <w:basedOn w:val="Normal"/>
    <w:next w:val="Normal"/>
    <w:link w:val="Heading4Char"/>
    <w:uiPriority w:val="9"/>
    <w:semiHidden/>
    <w:unhideWhenUsed/>
    <w:qFormat/>
    <w:rsid w:val="00E70BAD"/>
    <w:pPr>
      <w:keepNext/>
      <w:keepLines/>
      <w:numPr>
        <w:ilvl w:val="3"/>
        <w:numId w:val="25"/>
      </w:numPr>
      <w:spacing w:before="200"/>
      <w:outlineLvl w:val="3"/>
    </w:pPr>
    <w:rPr>
      <w:rFonts w:asciiTheme="majorHAnsi" w:eastAsiaTheme="majorEastAsia" w:hAnsiTheme="majorHAnsi" w:cstheme="majorBidi"/>
      <w:b/>
      <w:bCs/>
      <w:i/>
      <w:iCs/>
      <w:color w:val="4F81BD" w:themeColor="accent1"/>
      <w:sz w:val="24"/>
      <w:szCs w:val="24"/>
    </w:rPr>
  </w:style>
  <w:style w:type="paragraph" w:styleId="Heading5">
    <w:name w:val="heading 5"/>
    <w:basedOn w:val="Normal"/>
    <w:next w:val="Normal"/>
    <w:link w:val="Heading5Char"/>
    <w:uiPriority w:val="9"/>
    <w:semiHidden/>
    <w:unhideWhenUsed/>
    <w:qFormat/>
    <w:rsid w:val="00E70BAD"/>
    <w:pPr>
      <w:keepNext/>
      <w:keepLines/>
      <w:numPr>
        <w:ilvl w:val="4"/>
        <w:numId w:val="25"/>
      </w:numPr>
      <w:spacing w:before="200"/>
      <w:outlineLvl w:val="4"/>
    </w:pPr>
    <w:rPr>
      <w:rFonts w:asciiTheme="majorHAnsi" w:eastAsiaTheme="majorEastAsia" w:hAnsiTheme="majorHAnsi" w:cstheme="majorBidi"/>
      <w:color w:val="243F60" w:themeColor="accent1" w:themeShade="7F"/>
      <w:sz w:val="24"/>
      <w:szCs w:val="24"/>
    </w:rPr>
  </w:style>
  <w:style w:type="paragraph" w:styleId="Heading6">
    <w:name w:val="heading 6"/>
    <w:basedOn w:val="Normal"/>
    <w:next w:val="Normal"/>
    <w:link w:val="Heading6Char"/>
    <w:uiPriority w:val="9"/>
    <w:semiHidden/>
    <w:unhideWhenUsed/>
    <w:qFormat/>
    <w:rsid w:val="00E70BAD"/>
    <w:pPr>
      <w:keepNext/>
      <w:keepLines/>
      <w:numPr>
        <w:ilvl w:val="5"/>
        <w:numId w:val="25"/>
      </w:numPr>
      <w:spacing w:before="200"/>
      <w:outlineLvl w:val="5"/>
    </w:pPr>
    <w:rPr>
      <w:rFonts w:asciiTheme="majorHAnsi" w:eastAsiaTheme="majorEastAsia" w:hAnsiTheme="majorHAnsi" w:cstheme="majorBidi"/>
      <w:i/>
      <w:iCs/>
      <w:color w:val="243F60" w:themeColor="accent1" w:themeShade="7F"/>
      <w:sz w:val="24"/>
      <w:szCs w:val="24"/>
    </w:rPr>
  </w:style>
  <w:style w:type="paragraph" w:styleId="Heading7">
    <w:name w:val="heading 7"/>
    <w:basedOn w:val="Normal"/>
    <w:next w:val="Normal"/>
    <w:link w:val="Heading7Char"/>
    <w:uiPriority w:val="9"/>
    <w:semiHidden/>
    <w:unhideWhenUsed/>
    <w:qFormat/>
    <w:rsid w:val="00E70BAD"/>
    <w:pPr>
      <w:keepNext/>
      <w:keepLines/>
      <w:numPr>
        <w:ilvl w:val="6"/>
        <w:numId w:val="25"/>
      </w:numPr>
      <w:spacing w:before="200"/>
      <w:outlineLvl w:val="6"/>
    </w:pPr>
    <w:rPr>
      <w:rFonts w:asciiTheme="majorHAnsi" w:eastAsiaTheme="majorEastAsia" w:hAnsiTheme="majorHAnsi" w:cstheme="majorBidi"/>
      <w:i/>
      <w:iCs/>
      <w:color w:val="404040" w:themeColor="text1" w:themeTint="BF"/>
      <w:sz w:val="24"/>
      <w:szCs w:val="24"/>
    </w:rPr>
  </w:style>
  <w:style w:type="paragraph" w:styleId="Heading8">
    <w:name w:val="heading 8"/>
    <w:basedOn w:val="Normal"/>
    <w:next w:val="Normal"/>
    <w:link w:val="Heading8Char"/>
    <w:uiPriority w:val="9"/>
    <w:semiHidden/>
    <w:unhideWhenUsed/>
    <w:qFormat/>
    <w:rsid w:val="00E70BAD"/>
    <w:pPr>
      <w:keepNext/>
      <w:keepLines/>
      <w:numPr>
        <w:ilvl w:val="7"/>
        <w:numId w:val="25"/>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E70BAD"/>
    <w:pPr>
      <w:keepNext/>
      <w:keepLines/>
      <w:numPr>
        <w:ilvl w:val="8"/>
        <w:numId w:val="25"/>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Pr>
      <w:color w:val="0000FF"/>
      <w:u w:val="single"/>
    </w:rPr>
  </w:style>
  <w:style w:type="paragraph" w:styleId="ListParagraph">
    <w:name w:val="List Paragraph"/>
    <w:basedOn w:val="Normal"/>
    <w:uiPriority w:val="34"/>
    <w:qFormat/>
    <w:pPr>
      <w:ind w:left="720"/>
      <w:contextualSpacing/>
    </w:pPr>
    <w:rPr>
      <w:rFonts w:ascii="Times New Roman" w:hAnsi="Times New Roman"/>
      <w:sz w:val="24"/>
      <w:szCs w:val="24"/>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customStyle="1" w:styleId="Default">
    <w:name w:val="Default"/>
    <w:pPr>
      <w:widowControl w:val="0"/>
      <w:autoSpaceDE w:val="0"/>
      <w:autoSpaceDN w:val="0"/>
      <w:adjustRightInd w:val="0"/>
    </w:pPr>
    <w:rPr>
      <w:rFonts w:ascii="Verdana" w:hAnsi="Verdana" w:cs="Verdana"/>
      <w:color w:val="000000"/>
      <w:sz w:val="24"/>
      <w:szCs w:val="24"/>
    </w:rPr>
  </w:style>
  <w:style w:type="character" w:customStyle="1" w:styleId="apple-converted-space">
    <w:name w:val="apple-converted-space"/>
    <w:basedOn w:val="DefaultParagraphFont"/>
  </w:style>
  <w:style w:type="paragraph" w:styleId="FootnoteText">
    <w:name w:val="footnote text"/>
    <w:aliases w:val="FT,Car,Footnote Text Char1,Footnote Text Char Char,fn Char Char,Footnote Text Char1 Char1 Char,Footnote Text Char Char Char1 Char,Footnote Text Char1 Char Char Char,Footnote Text Char Char Char Char Char,Footnote Text Char Char1,fn"/>
    <w:basedOn w:val="Normal"/>
    <w:link w:val="FootnoteTextChar"/>
    <w:uiPriority w:val="99"/>
    <w:unhideWhenUsed/>
    <w:qFormat/>
    <w:rPr>
      <w:rFonts w:asciiTheme="minorHAnsi" w:eastAsiaTheme="minorEastAsia" w:hAnsiTheme="minorHAnsi" w:cstheme="minorBidi"/>
      <w:sz w:val="24"/>
      <w:szCs w:val="24"/>
    </w:rPr>
  </w:style>
  <w:style w:type="character" w:customStyle="1" w:styleId="FootnoteTextChar">
    <w:name w:val="Footnote Text Char"/>
    <w:aliases w:val="FT Char,Car Char,Footnote Text Char1 Char,Footnote Text Char Char Char,fn Char Char Char,Footnote Text Char1 Char1 Char Char,Footnote Text Char Char Char1 Char Char,Footnote Text Char1 Char Char Char Char,Footnote Text Char Char1 Char"/>
    <w:basedOn w:val="DefaultParagraphFont"/>
    <w:link w:val="FootnoteText"/>
    <w:uiPriority w:val="99"/>
    <w:rPr>
      <w:rFonts w:asciiTheme="minorHAnsi" w:eastAsiaTheme="minorEastAsia" w:hAnsiTheme="minorHAnsi" w:cstheme="minorBidi"/>
      <w:sz w:val="24"/>
      <w:szCs w:val="24"/>
    </w:rPr>
  </w:style>
  <w:style w:type="character" w:styleId="FootnoteReference">
    <w:name w:val="footnote reference"/>
    <w:aliases w:val="o,Style 13,Style 12,(NECG) Footnote Reference,fr,Tory Footnotes,Style 15,Style 17,Style 28,Style 20,o1,fr1,o2,fr2,o3,fr3"/>
    <w:basedOn w:val="DefaultParagraphFont"/>
    <w:uiPriority w:val="99"/>
    <w:unhideWhenUsed/>
    <w:rPr>
      <w:vertAlign w:val="superscript"/>
    </w:rPr>
  </w:style>
  <w:style w:type="character" w:styleId="FollowedHyperlink">
    <w:name w:val="FollowedHyperlink"/>
    <w:basedOn w:val="DefaultParagraphFont"/>
    <w:rPr>
      <w:color w:val="800080" w:themeColor="followedHyperlink"/>
      <w:u w:val="single"/>
    </w:rPr>
  </w:style>
  <w:style w:type="character" w:styleId="CommentReference">
    <w:name w:val="annotation reference"/>
    <w:basedOn w:val="DefaultParagraphFont"/>
    <w:rPr>
      <w:sz w:val="18"/>
      <w:szCs w:val="18"/>
    </w:rPr>
  </w:style>
  <w:style w:type="paragraph" w:styleId="CommentText">
    <w:name w:val="annotation text"/>
    <w:basedOn w:val="Normal"/>
    <w:link w:val="CommentTextChar"/>
    <w:rPr>
      <w:sz w:val="24"/>
      <w:szCs w:val="24"/>
    </w:rPr>
  </w:style>
  <w:style w:type="character" w:customStyle="1" w:styleId="CommentTextChar">
    <w:name w:val="Comment Text Char"/>
    <w:basedOn w:val="DefaultParagraphFont"/>
    <w:link w:val="CommentText"/>
    <w:rPr>
      <w:rFonts w:ascii="Trebuchet MS" w:hAnsi="Trebuchet MS"/>
      <w:sz w:val="24"/>
      <w:szCs w:val="24"/>
    </w:rPr>
  </w:style>
  <w:style w:type="paragraph" w:styleId="CommentSubject">
    <w:name w:val="annotation subject"/>
    <w:basedOn w:val="CommentText"/>
    <w:next w:val="CommentText"/>
    <w:link w:val="CommentSubjectChar"/>
    <w:rPr>
      <w:b/>
      <w:bCs/>
      <w:sz w:val="20"/>
      <w:szCs w:val="20"/>
    </w:rPr>
  </w:style>
  <w:style w:type="character" w:customStyle="1" w:styleId="CommentSubjectChar">
    <w:name w:val="Comment Subject Char"/>
    <w:basedOn w:val="CommentTextChar"/>
    <w:link w:val="CommentSubject"/>
    <w:rPr>
      <w:rFonts w:ascii="Trebuchet MS" w:hAnsi="Trebuchet MS"/>
      <w:b/>
      <w:bCs/>
      <w:sz w:val="24"/>
      <w:szCs w:val="24"/>
    </w:rPr>
  </w:style>
  <w:style w:type="character" w:customStyle="1" w:styleId="DeltaViewInsertion">
    <w:name w:val="DeltaView Insertion"/>
    <w:uiPriority w:val="99"/>
    <w:rPr>
      <w:color w:val="0000FF"/>
      <w:u w:val="double"/>
    </w:rPr>
  </w:style>
  <w:style w:type="paragraph" w:styleId="NormalWeb">
    <w:name w:val="Normal (Web)"/>
    <w:basedOn w:val="Normal"/>
    <w:uiPriority w:val="99"/>
    <w:unhideWhenUsed/>
    <w:rsid w:val="001F654A"/>
    <w:pPr>
      <w:spacing w:before="100" w:beforeAutospacing="1" w:after="100" w:afterAutospacing="1"/>
    </w:pPr>
    <w:rPr>
      <w:rFonts w:ascii="Times" w:eastAsiaTheme="minorEastAsia" w:hAnsi="Times"/>
    </w:rPr>
  </w:style>
  <w:style w:type="paragraph" w:styleId="NoSpacing">
    <w:name w:val="No Spacing"/>
    <w:uiPriority w:val="1"/>
    <w:qFormat/>
    <w:rsid w:val="002009E7"/>
    <w:rPr>
      <w:rFonts w:asciiTheme="minorHAnsi" w:eastAsiaTheme="minorHAnsi" w:hAnsiTheme="minorHAnsi" w:cstheme="minorBidi"/>
      <w:sz w:val="22"/>
      <w:szCs w:val="22"/>
    </w:rPr>
  </w:style>
  <w:style w:type="character" w:customStyle="1" w:styleId="Heading1Char">
    <w:name w:val="Heading 1 Char"/>
    <w:basedOn w:val="DefaultParagraphFont"/>
    <w:link w:val="Heading1"/>
    <w:uiPriority w:val="9"/>
    <w:rsid w:val="00E70BAD"/>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semiHidden/>
    <w:rsid w:val="00E70BA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70BAD"/>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semiHidden/>
    <w:rsid w:val="00E70BAD"/>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sid w:val="00E70BAD"/>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semiHidden/>
    <w:rsid w:val="00E70BAD"/>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semiHidden/>
    <w:rsid w:val="00E70BAD"/>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
    <w:semiHidden/>
    <w:rsid w:val="00E70BA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E70BAD"/>
    <w:rPr>
      <w:rFonts w:asciiTheme="majorHAnsi" w:eastAsiaTheme="majorEastAsia" w:hAnsiTheme="majorHAnsi" w:cstheme="majorBidi"/>
      <w:i/>
      <w:iCs/>
      <w:color w:val="404040" w:themeColor="text1" w:themeTint="BF"/>
    </w:rPr>
  </w:style>
  <w:style w:type="paragraph" w:styleId="Revision">
    <w:name w:val="Revision"/>
    <w:hidden/>
    <w:uiPriority w:val="99"/>
    <w:semiHidden/>
    <w:rsid w:val="007737C8"/>
    <w:rPr>
      <w:rFonts w:ascii="Trebuchet MS" w:hAnsi="Trebuchet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99951">
      <w:bodyDiv w:val="1"/>
      <w:marLeft w:val="0"/>
      <w:marRight w:val="0"/>
      <w:marTop w:val="0"/>
      <w:marBottom w:val="0"/>
      <w:divBdr>
        <w:top w:val="none" w:sz="0" w:space="0" w:color="auto"/>
        <w:left w:val="none" w:sz="0" w:space="0" w:color="auto"/>
        <w:bottom w:val="none" w:sz="0" w:space="0" w:color="auto"/>
        <w:right w:val="none" w:sz="0" w:space="0" w:color="auto"/>
      </w:divBdr>
    </w:div>
    <w:div w:id="78260406">
      <w:bodyDiv w:val="1"/>
      <w:marLeft w:val="0"/>
      <w:marRight w:val="0"/>
      <w:marTop w:val="0"/>
      <w:marBottom w:val="0"/>
      <w:divBdr>
        <w:top w:val="none" w:sz="0" w:space="0" w:color="auto"/>
        <w:left w:val="none" w:sz="0" w:space="0" w:color="auto"/>
        <w:bottom w:val="none" w:sz="0" w:space="0" w:color="auto"/>
        <w:right w:val="none" w:sz="0" w:space="0" w:color="auto"/>
      </w:divBdr>
      <w:divsChild>
        <w:div w:id="432944449">
          <w:marLeft w:val="0"/>
          <w:marRight w:val="0"/>
          <w:marTop w:val="0"/>
          <w:marBottom w:val="0"/>
          <w:divBdr>
            <w:top w:val="none" w:sz="0" w:space="0" w:color="auto"/>
            <w:left w:val="none" w:sz="0" w:space="0" w:color="auto"/>
            <w:bottom w:val="none" w:sz="0" w:space="0" w:color="auto"/>
            <w:right w:val="none" w:sz="0" w:space="0" w:color="auto"/>
          </w:divBdr>
          <w:divsChild>
            <w:div w:id="539786833">
              <w:marLeft w:val="0"/>
              <w:marRight w:val="0"/>
              <w:marTop w:val="0"/>
              <w:marBottom w:val="0"/>
              <w:divBdr>
                <w:top w:val="none" w:sz="0" w:space="0" w:color="auto"/>
                <w:left w:val="none" w:sz="0" w:space="0" w:color="auto"/>
                <w:bottom w:val="none" w:sz="0" w:space="0" w:color="auto"/>
                <w:right w:val="none" w:sz="0" w:space="0" w:color="auto"/>
              </w:divBdr>
              <w:divsChild>
                <w:div w:id="147497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086104">
      <w:bodyDiv w:val="1"/>
      <w:marLeft w:val="0"/>
      <w:marRight w:val="0"/>
      <w:marTop w:val="0"/>
      <w:marBottom w:val="0"/>
      <w:divBdr>
        <w:top w:val="none" w:sz="0" w:space="0" w:color="auto"/>
        <w:left w:val="none" w:sz="0" w:space="0" w:color="auto"/>
        <w:bottom w:val="none" w:sz="0" w:space="0" w:color="auto"/>
        <w:right w:val="none" w:sz="0" w:space="0" w:color="auto"/>
      </w:divBdr>
    </w:div>
    <w:div w:id="1113282192">
      <w:bodyDiv w:val="1"/>
      <w:marLeft w:val="0"/>
      <w:marRight w:val="0"/>
      <w:marTop w:val="0"/>
      <w:marBottom w:val="0"/>
      <w:divBdr>
        <w:top w:val="none" w:sz="0" w:space="0" w:color="auto"/>
        <w:left w:val="none" w:sz="0" w:space="0" w:color="auto"/>
        <w:bottom w:val="none" w:sz="0" w:space="0" w:color="auto"/>
        <w:right w:val="none" w:sz="0" w:space="0" w:color="auto"/>
      </w:divBdr>
    </w:div>
    <w:div w:id="1150173053">
      <w:bodyDiv w:val="1"/>
      <w:marLeft w:val="0"/>
      <w:marRight w:val="0"/>
      <w:marTop w:val="0"/>
      <w:marBottom w:val="0"/>
      <w:divBdr>
        <w:top w:val="none" w:sz="0" w:space="0" w:color="auto"/>
        <w:left w:val="none" w:sz="0" w:space="0" w:color="auto"/>
        <w:bottom w:val="none" w:sz="0" w:space="0" w:color="auto"/>
        <w:right w:val="none" w:sz="0" w:space="0" w:color="auto"/>
      </w:divBdr>
    </w:div>
    <w:div w:id="1188257604">
      <w:bodyDiv w:val="1"/>
      <w:marLeft w:val="0"/>
      <w:marRight w:val="0"/>
      <w:marTop w:val="0"/>
      <w:marBottom w:val="0"/>
      <w:divBdr>
        <w:top w:val="none" w:sz="0" w:space="0" w:color="auto"/>
        <w:left w:val="none" w:sz="0" w:space="0" w:color="auto"/>
        <w:bottom w:val="none" w:sz="0" w:space="0" w:color="auto"/>
        <w:right w:val="none" w:sz="0" w:space="0" w:color="auto"/>
      </w:divBdr>
    </w:div>
    <w:div w:id="1220557850">
      <w:bodyDiv w:val="1"/>
      <w:marLeft w:val="0"/>
      <w:marRight w:val="0"/>
      <w:marTop w:val="0"/>
      <w:marBottom w:val="0"/>
      <w:divBdr>
        <w:top w:val="none" w:sz="0" w:space="0" w:color="auto"/>
        <w:left w:val="none" w:sz="0" w:space="0" w:color="auto"/>
        <w:bottom w:val="none" w:sz="0" w:space="0" w:color="auto"/>
        <w:right w:val="none" w:sz="0" w:space="0" w:color="auto"/>
      </w:divBdr>
      <w:divsChild>
        <w:div w:id="1259287717">
          <w:marLeft w:val="0"/>
          <w:marRight w:val="0"/>
          <w:marTop w:val="0"/>
          <w:marBottom w:val="0"/>
          <w:divBdr>
            <w:top w:val="none" w:sz="0" w:space="0" w:color="auto"/>
            <w:left w:val="none" w:sz="0" w:space="0" w:color="auto"/>
            <w:bottom w:val="none" w:sz="0" w:space="0" w:color="auto"/>
            <w:right w:val="none" w:sz="0" w:space="0" w:color="auto"/>
          </w:divBdr>
          <w:divsChild>
            <w:div w:id="60954054">
              <w:marLeft w:val="0"/>
              <w:marRight w:val="0"/>
              <w:marTop w:val="0"/>
              <w:marBottom w:val="0"/>
              <w:divBdr>
                <w:top w:val="none" w:sz="0" w:space="0" w:color="auto"/>
                <w:left w:val="none" w:sz="0" w:space="0" w:color="auto"/>
                <w:bottom w:val="none" w:sz="0" w:space="0" w:color="auto"/>
                <w:right w:val="none" w:sz="0" w:space="0" w:color="auto"/>
              </w:divBdr>
              <w:divsChild>
                <w:div w:id="6291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778242">
      <w:bodyDiv w:val="1"/>
      <w:marLeft w:val="0"/>
      <w:marRight w:val="0"/>
      <w:marTop w:val="0"/>
      <w:marBottom w:val="0"/>
      <w:divBdr>
        <w:top w:val="none" w:sz="0" w:space="0" w:color="auto"/>
        <w:left w:val="none" w:sz="0" w:space="0" w:color="auto"/>
        <w:bottom w:val="none" w:sz="0" w:space="0" w:color="auto"/>
        <w:right w:val="none" w:sz="0" w:space="0" w:color="auto"/>
      </w:divBdr>
    </w:div>
    <w:div w:id="1595826000">
      <w:bodyDiv w:val="1"/>
      <w:marLeft w:val="0"/>
      <w:marRight w:val="0"/>
      <w:marTop w:val="0"/>
      <w:marBottom w:val="0"/>
      <w:divBdr>
        <w:top w:val="none" w:sz="0" w:space="0" w:color="auto"/>
        <w:left w:val="none" w:sz="0" w:space="0" w:color="auto"/>
        <w:bottom w:val="none" w:sz="0" w:space="0" w:color="auto"/>
        <w:right w:val="none" w:sz="0" w:space="0" w:color="auto"/>
      </w:divBdr>
    </w:div>
    <w:div w:id="1798642535">
      <w:bodyDiv w:val="1"/>
      <w:marLeft w:val="0"/>
      <w:marRight w:val="0"/>
      <w:marTop w:val="0"/>
      <w:marBottom w:val="0"/>
      <w:divBdr>
        <w:top w:val="none" w:sz="0" w:space="0" w:color="auto"/>
        <w:left w:val="none" w:sz="0" w:space="0" w:color="auto"/>
        <w:bottom w:val="none" w:sz="0" w:space="0" w:color="auto"/>
        <w:right w:val="none" w:sz="0" w:space="0" w:color="auto"/>
      </w:divBdr>
    </w:div>
    <w:div w:id="1965427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Kevin.Batteh@Commoditymkts.org" TargetMode="External"/><Relationship Id="rId10"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www.cftc.gov/PressRoom/SpeechesTestimony/opamassad-47" TargetMode="External"/><Relationship Id="rId4" Type="http://schemas.openxmlformats.org/officeDocument/2006/relationships/hyperlink" Target="http://www.cftc.gov/PressRoom/SpeechesTestimony/opabowen-7" TargetMode="External"/><Relationship Id="rId5" Type="http://schemas.openxmlformats.org/officeDocument/2006/relationships/hyperlink" Target="http://www.cftc.gov/PressRoom/SpeechesTestimony/giancarlostatement052616" TargetMode="External"/><Relationship Id="rId6" Type="http://schemas.openxmlformats.org/officeDocument/2006/relationships/hyperlink" Target="http://www.commoditymkts.org/wp-content/uploads/2014/05/CMC-Final-Anticipatory-Hedge-9.24.13.pdf" TargetMode="External"/><Relationship Id="rId7" Type="http://schemas.openxmlformats.org/officeDocument/2006/relationships/hyperlink" Target="http://www.commoditymkts.org/wp-content/uploads/2014/05/CMC-Position-Limits-Comment-Letter-2-10-2014.pdf" TargetMode="External"/><Relationship Id="rId8" Type="http://schemas.openxmlformats.org/officeDocument/2006/relationships/hyperlink" Target="http://www.commoditymkts.org/wp-content/uploads/2014/07/CMC-PL-Roundtable-Comment-Letter-FINAL.pdf" TargetMode="External"/><Relationship Id="rId9" Type="http://schemas.openxmlformats.org/officeDocument/2006/relationships/hyperlink" Target="http://www.commoditymkts.org/wp-content/uploads/2015/09/CMC-Position-Limits-Letter-3.28.2015.pdf" TargetMode="External"/><Relationship Id="rId1" Type="http://schemas.openxmlformats.org/officeDocument/2006/relationships/hyperlink" Target="http://www.cftc.gov/PressRoom/SpeechesTestimony/opamassad-41" TargetMode="External"/><Relationship Id="rId2" Type="http://schemas.openxmlformats.org/officeDocument/2006/relationships/hyperlink" Target="http://www.cftc.gov/PressRoom/SpeechesTestimony/massadstatement052616"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3B0DF8-714B-1D49-8C1B-EE28D7501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6337</Words>
  <Characters>36695</Characters>
  <Application>Microsoft Macintosh Word</Application>
  <DocSecurity>0</DocSecurity>
  <Lines>547</Lines>
  <Paragraphs>129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42903</CharactersWithSpaces>
  <SharedDoc>false</SharedDoc>
  <HLinks>
    <vt:vector size="6" baseType="variant">
      <vt:variant>
        <vt:i4>7405582</vt:i4>
      </vt:variant>
      <vt:variant>
        <vt:i4>0</vt:i4>
      </vt:variant>
      <vt:variant>
        <vt:i4>0</vt:i4>
      </vt:variant>
      <vt:variant>
        <vt:i4>5</vt:i4>
      </vt:variant>
      <vt:variant>
        <vt:lpwstr>mailto:christine.cochran@commoditymkts.org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 mangan</dc:creator>
  <cp:lastModifiedBy>Kevin Batteh</cp:lastModifiedBy>
  <cp:revision>2</cp:revision>
  <cp:lastPrinted>2016-07-12T23:11:00Z</cp:lastPrinted>
  <dcterms:created xsi:type="dcterms:W3CDTF">2016-07-13T21:04:00Z</dcterms:created>
  <dcterms:modified xsi:type="dcterms:W3CDTF">2016-07-13T21:04:00Z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ber">
    <vt:lpwstr>25359940.1</vt:lpwstr>
  </property>
  <property fmtid="{D5CDD505-2E9C-101B-9397-08002B2CF9AE}" pid="3" name="vDocIDInserted">
    <vt:lpwstr>Y</vt:lpwstr>
  </property>
</Properties>
</file>